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28" w:type="dxa"/>
          <w:bottom w:w="0" w:type="dxa"/>
          <w:right w:w="28" w:type="dxa"/>
        </w:tblCellMar>
      </w:tblPr>
      <w:tblGrid>
        <w:gridCol w:w="8900"/>
      </w:tblGrid>
      <w:tr>
        <w:tblPrEx>
          <w:tblCellMar>
            <w:top w:w="0" w:type="dxa"/>
            <w:left w:w="28" w:type="dxa"/>
            <w:bottom w:w="0" w:type="dxa"/>
            <w:right w:w="28" w:type="dxa"/>
          </w:tblCellMar>
        </w:tblPrEx>
        <w:trPr>
          <w:cantSplit/>
          <w:trHeight w:val="454" w:hRule="atLeast"/>
        </w:trPr>
        <w:tc>
          <w:tcPr>
            <w:tcW w:w="5000" w:type="pct"/>
            <w:noWrap w:val="0"/>
            <w:vAlign w:val="center"/>
          </w:tcPr>
          <w:p>
            <w:pPr>
              <w:adjustRightInd w:val="0"/>
              <w:snapToGrid w:val="0"/>
              <w:spacing w:before="100" w:beforeAutospacing="1" w:after="100" w:afterAutospacing="1"/>
              <w:ind w:right="377" w:rightChars="157"/>
              <w:textAlignment w:val="bottom"/>
              <w:rPr>
                <w:rFonts w:ascii="黑体" w:hAnsi="黑体" w:eastAsia="黑体"/>
              </w:rPr>
            </w:pPr>
            <w:bookmarkStart w:id="0" w:name="fhj"/>
            <w:r>
              <w:rPr>
                <w:rFonts w:hint="eastAsia" w:ascii="黑体" w:hAnsi="黑体" w:eastAsia="黑体"/>
              </w:rPr>
              <w:t xml:space="preserve"> </w:t>
            </w:r>
            <w:bookmarkEnd w:id="0"/>
          </w:p>
        </w:tc>
      </w:tr>
      <w:tr>
        <w:tblPrEx>
          <w:tblCellMar>
            <w:top w:w="0" w:type="dxa"/>
            <w:left w:w="28" w:type="dxa"/>
            <w:bottom w:w="0" w:type="dxa"/>
            <w:right w:w="28" w:type="dxa"/>
          </w:tblCellMar>
        </w:tblPrEx>
        <w:trPr>
          <w:cantSplit/>
          <w:trHeight w:val="664" w:hRule="atLeast"/>
        </w:trPr>
        <w:tc>
          <w:tcPr>
            <w:tcW w:w="5000" w:type="pct"/>
            <w:noWrap w:val="0"/>
            <w:vAlign w:val="center"/>
          </w:tcPr>
          <w:p>
            <w:pPr>
              <w:adjustRightInd w:val="0"/>
              <w:snapToGrid w:val="0"/>
              <w:spacing w:before="100" w:beforeAutospacing="1" w:after="100" w:afterAutospacing="1"/>
              <w:ind w:right="377" w:rightChars="157"/>
              <w:textAlignment w:val="bottom"/>
              <w:rPr>
                <w:rFonts w:eastAsia="黑体"/>
              </w:rPr>
            </w:pPr>
          </w:p>
        </w:tc>
      </w:tr>
      <w:tr>
        <w:tblPrEx>
          <w:tblCellMar>
            <w:top w:w="0" w:type="dxa"/>
            <w:left w:w="28" w:type="dxa"/>
            <w:bottom w:w="0" w:type="dxa"/>
            <w:right w:w="28" w:type="dxa"/>
          </w:tblCellMar>
        </w:tblPrEx>
        <w:trPr>
          <w:cantSplit/>
          <w:trHeight w:val="703" w:hRule="atLeast"/>
        </w:trPr>
        <w:tc>
          <w:tcPr>
            <w:tcW w:w="5000" w:type="pct"/>
            <w:noWrap w:val="0"/>
            <w:vAlign w:val="center"/>
          </w:tcPr>
          <w:p>
            <w:pPr>
              <w:adjustRightInd w:val="0"/>
              <w:snapToGrid w:val="0"/>
              <w:spacing w:before="100" w:beforeAutospacing="1" w:after="100" w:afterAutospacing="1"/>
              <w:ind w:right="377" w:rightChars="157"/>
              <w:textAlignment w:val="bottom"/>
              <w:rPr>
                <w:rFonts w:eastAsia="黑体"/>
              </w:rPr>
            </w:pPr>
          </w:p>
        </w:tc>
      </w:tr>
      <w:tr>
        <w:tblPrEx>
          <w:tblCellMar>
            <w:top w:w="0" w:type="dxa"/>
            <w:left w:w="28" w:type="dxa"/>
            <w:bottom w:w="0" w:type="dxa"/>
            <w:right w:w="28" w:type="dxa"/>
          </w:tblCellMar>
        </w:tblPrEx>
        <w:trPr>
          <w:trHeight w:val="1093" w:hRule="atLeast"/>
        </w:trPr>
        <w:tc>
          <w:tcPr>
            <w:tcW w:w="5000" w:type="pct"/>
            <w:noWrap w:val="0"/>
            <w:vAlign w:val="center"/>
          </w:tcPr>
          <w:p>
            <w:pPr>
              <w:snapToGrid w:val="0"/>
              <w:spacing w:before="100" w:beforeAutospacing="1" w:after="100" w:afterAutospacing="1"/>
              <w:jc w:val="center"/>
              <w:textAlignment w:val="bottom"/>
              <w:rPr>
                <w:rFonts w:ascii="方正小标宋简体" w:eastAsia="方正小标宋简体"/>
                <w:b/>
                <w:bCs/>
                <w:sz w:val="84"/>
                <w:szCs w:val="84"/>
              </w:rPr>
            </w:pPr>
            <w:bookmarkStart w:id="1" w:name="fhead"/>
            <w:r>
              <w:rPr>
                <w:rFonts w:hint="eastAsia" w:ascii="方正小标宋简体" w:hAnsi="宋体" w:eastAsia="方正小标宋简体"/>
                <w:b/>
                <w:color w:val="FF0000"/>
                <w:spacing w:val="0"/>
                <w:w w:val="66"/>
                <w:kern w:val="0"/>
                <w:sz w:val="84"/>
                <w:szCs w:val="84"/>
                <w:fitText w:val="8359" w:id="1970560226"/>
              </w:rPr>
              <w:t>泉州台商投资区管理委员会财政</w:t>
            </w:r>
            <w:r>
              <w:rPr>
                <w:rFonts w:hint="eastAsia" w:ascii="方正小标宋简体" w:hAnsi="宋体" w:eastAsia="方正小标宋简体"/>
                <w:b/>
                <w:color w:val="FF0000"/>
                <w:spacing w:val="-2"/>
                <w:w w:val="66"/>
                <w:kern w:val="0"/>
                <w:sz w:val="84"/>
                <w:szCs w:val="84"/>
                <w:fitText w:val="8359" w:id="1970560226"/>
              </w:rPr>
              <w:t>局</w:t>
            </w:r>
            <w:bookmarkEnd w:id="1"/>
          </w:p>
        </w:tc>
      </w:tr>
      <w:tr>
        <w:tblPrEx>
          <w:tblCellMar>
            <w:top w:w="0" w:type="dxa"/>
            <w:left w:w="28" w:type="dxa"/>
            <w:bottom w:w="0" w:type="dxa"/>
            <w:right w:w="28" w:type="dxa"/>
          </w:tblCellMar>
        </w:tblPrEx>
        <w:trPr>
          <w:cantSplit/>
          <w:trHeight w:val="1291" w:hRule="atLeast"/>
          <w:hidden/>
        </w:trPr>
        <w:tc>
          <w:tcPr>
            <w:tcW w:w="5000" w:type="pct"/>
            <w:noWrap w:val="0"/>
            <w:vAlign w:val="bottom"/>
          </w:tcPr>
          <w:p>
            <w:pPr>
              <w:snapToGrid w:val="0"/>
              <w:spacing w:before="120" w:line="318" w:lineRule="atLeast"/>
              <w:ind w:right="339" w:firstLine="2844" w:firstLineChars="889"/>
              <w:textAlignment w:val="bottom"/>
              <w:rPr>
                <w:rFonts w:hint="eastAsia" w:ascii="仿宋" w:hAnsi="仿宋"/>
              </w:rPr>
            </w:pPr>
            <w:bookmarkStart w:id="2" w:name="fwh"/>
            <w:r>
              <w:rPr>
                <w:rFonts w:hint="eastAsia" w:ascii="仿宋_GB2312" w:hAnsi="Times New Roman" w:eastAsia="仿宋_GB2312" w:cs="Times New Roman"/>
                <w:b w:val="0"/>
                <w:bCs w:val="0"/>
                <w:i w:val="0"/>
                <w:iCs w:val="0"/>
                <w:caps w:val="0"/>
                <w:smallCaps w:val="0"/>
                <w:strike w:val="0"/>
                <w:dstrike w:val="0"/>
                <w:vanish w:val="0"/>
                <w:color w:val="000000"/>
                <w:spacing w:val="0"/>
                <w:w w:val="100"/>
                <w:kern w:val="0"/>
                <w:position w:val="0"/>
                <w:sz w:val="32"/>
                <w:szCs w:val="32"/>
                <w:u w:val="none" w:color="auto"/>
                <w:vertAlign w:val="baseline"/>
                <w:rtl w:val="0"/>
                <w:lang w:val="en-US" w:eastAsia="zh-CN" w:bidi="ar-SA"/>
              </w:rPr>
              <w:t>泉台管财〔2021〕</w:t>
            </w:r>
            <w:bookmarkEnd w:id="2"/>
            <w:r>
              <w:rPr>
                <w:rFonts w:hint="eastAsia" w:ascii="仿宋_GB2312" w:hAnsi="Times New Roman" w:eastAsia="仿宋_GB2312" w:cs="Times New Roman"/>
                <w:b w:val="0"/>
                <w:bCs w:val="0"/>
                <w:i w:val="0"/>
                <w:iCs w:val="0"/>
                <w:caps w:val="0"/>
                <w:smallCaps w:val="0"/>
                <w:strike w:val="0"/>
                <w:dstrike w:val="0"/>
                <w:vanish w:val="0"/>
                <w:color w:val="000000"/>
                <w:spacing w:val="0"/>
                <w:w w:val="100"/>
                <w:kern w:val="0"/>
                <w:position w:val="0"/>
                <w:sz w:val="32"/>
                <w:szCs w:val="32"/>
                <w:u w:val="none" w:color="auto"/>
                <w:vertAlign w:val="baseline"/>
                <w:rtl w:val="0"/>
                <w:lang w:val="en-US" w:eastAsia="zh-CN" w:bidi="ar-SA"/>
              </w:rPr>
              <w:t>2</w:t>
            </w:r>
            <w:r>
              <w:rPr>
                <w:rFonts w:hint="eastAsia" w:ascii="仿宋_GB2312" w:eastAsia="仿宋_GB2312" w:cs="Times New Roman"/>
                <w:b w:val="0"/>
                <w:bCs w:val="0"/>
                <w:i w:val="0"/>
                <w:iCs w:val="0"/>
                <w:caps w:val="0"/>
                <w:smallCaps w:val="0"/>
                <w:strike w:val="0"/>
                <w:dstrike w:val="0"/>
                <w:vanish w:val="0"/>
                <w:color w:val="000000"/>
                <w:spacing w:val="0"/>
                <w:w w:val="100"/>
                <w:kern w:val="0"/>
                <w:position w:val="0"/>
                <w:sz w:val="32"/>
                <w:szCs w:val="32"/>
                <w:u w:val="none" w:color="auto"/>
                <w:vertAlign w:val="baseline"/>
                <w:rtl w:val="0"/>
                <w:lang w:val="en-US" w:eastAsia="zh-CN" w:bidi="ar-SA"/>
              </w:rPr>
              <w:t>11</w:t>
            </w:r>
            <w:bookmarkStart w:id="4" w:name="_GoBack"/>
            <w:bookmarkEnd w:id="4"/>
            <w:r>
              <w:rPr>
                <w:rFonts w:hint="eastAsia" w:ascii="仿宋_GB2312" w:hAnsi="Times New Roman" w:eastAsia="仿宋_GB2312" w:cs="Times New Roman"/>
                <w:b w:val="0"/>
                <w:bCs w:val="0"/>
                <w:i w:val="0"/>
                <w:iCs w:val="0"/>
                <w:caps w:val="0"/>
                <w:smallCaps w:val="0"/>
                <w:strike w:val="0"/>
                <w:dstrike w:val="0"/>
                <w:vanish w:val="0"/>
                <w:color w:val="000000"/>
                <w:spacing w:val="0"/>
                <w:w w:val="100"/>
                <w:kern w:val="0"/>
                <w:position w:val="0"/>
                <w:sz w:val="32"/>
                <w:szCs w:val="32"/>
                <w:u w:val="none" w:color="auto"/>
                <w:vertAlign w:val="baseline"/>
                <w:rtl w:val="0"/>
                <w:lang w:val="en-US" w:eastAsia="zh-CN" w:bidi="ar-SA"/>
              </w:rPr>
              <w:t>号</w:t>
            </w:r>
          </w:p>
        </w:tc>
      </w:tr>
      <w:tr>
        <w:tblPrEx>
          <w:tblCellMar>
            <w:top w:w="0" w:type="dxa"/>
            <w:left w:w="28" w:type="dxa"/>
            <w:bottom w:w="0" w:type="dxa"/>
            <w:right w:w="28" w:type="dxa"/>
          </w:tblCellMar>
        </w:tblPrEx>
        <w:trPr>
          <w:trHeight w:val="113" w:hRule="exact"/>
        </w:trPr>
        <w:tc>
          <w:tcPr>
            <w:tcW w:w="5000" w:type="pct"/>
            <w:noWrap w:val="0"/>
            <w:vAlign w:val="top"/>
          </w:tcPr>
          <w:p>
            <w:pPr>
              <w:snapToGrid w:val="0"/>
              <w:spacing w:line="160" w:lineRule="exact"/>
              <w:rPr>
                <w:rFonts w:ascii="仿宋" w:hAnsi="仿宋"/>
                <w:szCs w:val="21"/>
              </w:rPr>
            </w:pPr>
            <w:bookmarkStart w:id="3" w:name="fline"/>
            <w:r>
              <w:rPr>
                <w:rFonts w:hint="eastAsia" w:ascii="仿宋" w:hAnsi="仿宋"/>
                <w:szCs w:val="21"/>
              </w:rPr>
              <w:pict>
                <v:rect id="_x0000_i1025" o:spt="1" style="height:3pt;width:438.25pt;" fillcolor="#FF0000" filled="t" stroked="f" coordsize="21600,21600" o:hr="t" o:hrstd="t" o:hrnoshade="t" o:hralign="center">
                  <v:path/>
                  <v:fill on="t" focussize="0,0"/>
                  <v:stroke on="f"/>
                  <v:imagedata o:title=""/>
                  <o:lock v:ext="edit"/>
                  <w10:wrap type="none"/>
                  <w10:anchorlock/>
                </v:rect>
              </w:pict>
            </w:r>
            <w:bookmarkEnd w:id="3"/>
          </w:p>
        </w:tc>
      </w:tr>
    </w:tbl>
    <w:p>
      <w:pPr>
        <w:keepNext w:val="0"/>
        <w:keepLines w:val="0"/>
        <w:pageBreakBefore w:val="0"/>
        <w:framePr w:wrap="auto" w:vAnchor="margin" w:hAnchor="text" w:yAlign="inline"/>
        <w:widowControl w:val="0"/>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pPr>
    </w:p>
    <w:p>
      <w:pPr>
        <w:keepNext w:val="0"/>
        <w:keepLines w:val="0"/>
        <w:pageBreakBefore w:val="0"/>
        <w:framePr w:wrap="auto" w:vAnchor="margin" w:hAnchor="text" w:yAlign="inline"/>
        <w:widowControl w:val="0"/>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pPr>
      <w:r>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t>泉州</w:t>
      </w:r>
      <w:r>
        <w:rPr>
          <w:rFonts w:hint="eastAsia" w:ascii="方正小标宋简体"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t>台商投资区管理委员会</w:t>
      </w:r>
      <w:r>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t>财政局</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pPr>
      <w:r>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t>关于实施政府采购信用承诺制度的通知</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b w:val="0"/>
          <w:bCs w:val="0"/>
          <w:i w:val="0"/>
          <w:iCs w:val="0"/>
          <w:caps w:val="0"/>
          <w:smallCaps w:val="0"/>
          <w:strike w:val="0"/>
          <w:dstrike w:val="0"/>
          <w:vanish w:val="0"/>
          <w:spacing w:val="0"/>
          <w:w w:val="100"/>
          <w:kern w:val="0"/>
          <w:position w:val="0"/>
          <w:sz w:val="44"/>
          <w:szCs w:val="44"/>
          <w:u w:val="none"/>
          <w:vertAlign w:val="baseline"/>
          <w:rtl w:val="0"/>
          <w:lang w:eastAsia="zh-CN"/>
        </w:rPr>
      </w:pPr>
    </w:p>
    <w:p>
      <w:pPr>
        <w:pStyle w:val="4"/>
        <w:keepNext w:val="0"/>
        <w:keepLines w:val="0"/>
        <w:pageBreakBefore w:val="0"/>
        <w:framePr w:wrap="auto" w:vAnchor="margin" w:hAnchor="text" w:yAlign="inline"/>
        <w:widowControl/>
        <w:kinsoku/>
        <w:wordWrap/>
        <w:overflowPunct/>
        <w:topLinePunct w:val="0"/>
        <w:autoSpaceDE/>
        <w:autoSpaceDN/>
        <w:bidi w:val="0"/>
        <w:adjustRightInd/>
        <w:snapToGrid/>
        <w:spacing w:line="500" w:lineRule="exact"/>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各乡镇人民政府、区直各部门及其下属事业单位、有关政府采购代理机构：</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firstLine="640"/>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为进一步强化政府采购主体的责任意识和诚信意识，促进政府采购市场主体依法诚信参与政府采购活动，维护公平竞争的政采环境，贯彻落实《泉州市社会信用体系建设领导小组办公室关于印发&lt;泉州市关于全面建立信用承诺机制的实施方案&gt;的通知》（泉信用办</w:t>
      </w:r>
      <w:r>
        <w:rPr>
          <w:rFonts w:hint="default" w:ascii="Times New Roman" w:hAnsi="Times New Roman" w:eastAsia="仿宋_GB2312" w:cs="Times New Roman"/>
          <w:color w:val="000000"/>
          <w:spacing w:val="0"/>
          <w:w w:val="100"/>
          <w:kern w:val="0"/>
          <w:position w:val="0"/>
          <w:sz w:val="32"/>
          <w:szCs w:val="32"/>
          <w:u w:val="none" w:color="auto"/>
          <w:vertAlign w:val="baseline"/>
          <w:lang w:val="en-US" w:eastAsia="zh-CN"/>
        </w:rPr>
        <w:t>〔202</w:t>
      </w:r>
      <w:r>
        <w:rPr>
          <w:rFonts w:hint="eastAsia" w:ascii="Times New Roman" w:hAnsi="Times New Roman" w:eastAsia="仿宋_GB2312" w:cs="Times New Roman"/>
          <w:color w:val="000000"/>
          <w:spacing w:val="0"/>
          <w:w w:val="100"/>
          <w:kern w:val="0"/>
          <w:position w:val="0"/>
          <w:sz w:val="32"/>
          <w:szCs w:val="32"/>
          <w:u w:val="none" w:color="auto"/>
          <w:vertAlign w:val="baseline"/>
          <w:lang w:val="en-US" w:eastAsia="zh-CN"/>
        </w:rPr>
        <w:t>1</w:t>
      </w:r>
      <w:r>
        <w:rPr>
          <w:rFonts w:hint="default" w:ascii="Times New Roman" w:hAnsi="Times New Roman" w:eastAsia="仿宋_GB2312" w:cs="Times New Roman"/>
          <w:color w:val="000000"/>
          <w:spacing w:val="0"/>
          <w:w w:val="100"/>
          <w:kern w:val="0"/>
          <w:position w:val="0"/>
          <w:sz w:val="32"/>
          <w:szCs w:val="32"/>
          <w:u w:val="none" w:color="auto"/>
          <w:vertAlign w:val="baseline"/>
          <w:lang w:val="en-US" w:eastAsia="zh-CN"/>
        </w:rPr>
        <w:t>〕</w:t>
      </w:r>
      <w:r>
        <w:rPr>
          <w:rFonts w:hint="eastAsia" w:ascii="Times New Roman" w:hAnsi="Times New Roman" w:eastAsia="仿宋_GB2312" w:cs="Times New Roman"/>
          <w:color w:val="000000"/>
          <w:spacing w:val="0"/>
          <w:w w:val="100"/>
          <w:kern w:val="0"/>
          <w:position w:val="0"/>
          <w:sz w:val="32"/>
          <w:szCs w:val="32"/>
          <w:u w:val="none" w:color="auto"/>
          <w:vertAlign w:val="baseline"/>
          <w:lang w:val="en-US" w:eastAsia="zh-CN"/>
        </w:rPr>
        <w:t>3号</w:t>
      </w: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）、《泉州台商投资区全面建立信用承诺制度实施意见》（泉台信用办</w:t>
      </w:r>
      <w:r>
        <w:rPr>
          <w:rFonts w:hint="default" w:ascii="Times New Roman" w:hAnsi="Times New Roman" w:eastAsia="仿宋_GB2312" w:cs="Times New Roman"/>
          <w:color w:val="000000"/>
          <w:spacing w:val="0"/>
          <w:w w:val="100"/>
          <w:kern w:val="0"/>
          <w:position w:val="0"/>
          <w:sz w:val="32"/>
          <w:szCs w:val="32"/>
          <w:u w:val="none" w:color="auto"/>
          <w:vertAlign w:val="baseline"/>
          <w:lang w:val="en-US" w:eastAsia="zh-CN"/>
        </w:rPr>
        <w:t>〔202</w:t>
      </w:r>
      <w:r>
        <w:rPr>
          <w:rFonts w:hint="eastAsia" w:ascii="Times New Roman" w:hAnsi="Times New Roman" w:eastAsia="仿宋_GB2312" w:cs="Times New Roman"/>
          <w:color w:val="000000"/>
          <w:spacing w:val="0"/>
          <w:w w:val="100"/>
          <w:kern w:val="0"/>
          <w:position w:val="0"/>
          <w:sz w:val="32"/>
          <w:szCs w:val="32"/>
          <w:u w:val="none" w:color="auto"/>
          <w:vertAlign w:val="baseline"/>
          <w:lang w:val="en-US" w:eastAsia="zh-CN"/>
        </w:rPr>
        <w:t>1</w:t>
      </w:r>
      <w:r>
        <w:rPr>
          <w:rFonts w:hint="default" w:ascii="Times New Roman" w:hAnsi="Times New Roman" w:eastAsia="仿宋_GB2312" w:cs="Times New Roman"/>
          <w:color w:val="000000"/>
          <w:spacing w:val="0"/>
          <w:w w:val="100"/>
          <w:kern w:val="0"/>
          <w:position w:val="0"/>
          <w:sz w:val="32"/>
          <w:szCs w:val="32"/>
          <w:u w:val="none" w:color="auto"/>
          <w:vertAlign w:val="baseline"/>
          <w:lang w:val="en-US" w:eastAsia="zh-CN"/>
        </w:rPr>
        <w:t>〕</w:t>
      </w:r>
      <w:r>
        <w:rPr>
          <w:rFonts w:hint="eastAsia" w:ascii="Times New Roman" w:hAnsi="Times New Roman" w:eastAsia="仿宋_GB2312" w:cs="Times New Roman"/>
          <w:color w:val="000000"/>
          <w:spacing w:val="0"/>
          <w:w w:val="100"/>
          <w:kern w:val="0"/>
          <w:position w:val="0"/>
          <w:sz w:val="32"/>
          <w:szCs w:val="32"/>
          <w:u w:val="none" w:color="auto"/>
          <w:vertAlign w:val="baseline"/>
          <w:lang w:val="en-US" w:eastAsia="zh-CN"/>
        </w:rPr>
        <w:t>4号</w:t>
      </w: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）文件精神，经研究，决定在原有供应商信用查询的基础上，增加采购人、采购代理机构信用承诺，全面推行政府采购信用承诺制。现将有关事项通知如下：</w:t>
      </w:r>
    </w:p>
    <w:p>
      <w:pPr>
        <w:pStyle w:val="4"/>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left="640" w:leftChars="0" w:right="0" w:rightChars="0"/>
        <w:jc w:val="both"/>
        <w:textAlignment w:val="auto"/>
        <w:rPr>
          <w:rFonts w:hint="eastAsia" w:ascii="黑体" w:hAnsi="黑体" w:eastAsia="黑体" w:cs="黑体"/>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黑体" w:hAnsi="黑体" w:eastAsia="黑体" w:cs="黑体"/>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一、信用承诺对象</w:t>
      </w:r>
    </w:p>
    <w:p>
      <w:pPr>
        <w:pStyle w:val="4"/>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right="0" w:rightChars="0" w:firstLine="640" w:firstLineChars="200"/>
        <w:jc w:val="both"/>
        <w:textAlignment w:val="auto"/>
        <w:rPr>
          <w:rFonts w:hint="default"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本次信用承诺对象包括参与政府采购活动的采购人、采购代理机构</w:t>
      </w:r>
    </w:p>
    <w:p>
      <w:pPr>
        <w:pStyle w:val="4"/>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line="500" w:lineRule="exact"/>
        <w:ind w:left="640" w:leftChars="0" w:right="0" w:rightChars="0"/>
        <w:jc w:val="both"/>
        <w:textAlignment w:val="auto"/>
        <w:rPr>
          <w:rFonts w:hint="eastAsia" w:ascii="黑体" w:hAnsi="黑体" w:eastAsia="黑体" w:cs="黑体"/>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黑体" w:hAnsi="黑体" w:eastAsia="黑体" w:cs="黑体"/>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二、信用承诺程序</w:t>
      </w:r>
    </w:p>
    <w:p>
      <w:pPr>
        <w:pStyle w:val="4"/>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right="0" w:rightChars="0" w:firstLine="640" w:firstLineChars="200"/>
        <w:jc w:val="both"/>
        <w:textAlignment w:val="auto"/>
        <w:rPr>
          <w:rFonts w:hint="default"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在政府采购活动开始前，信用承诺对象应当知晓政府采购活动中应遵守的法律法规及在信用建设方面应履行的任务，签署《信用承诺书》（具体见附件）。采购人或采购代理机构应当将签署的《信用承诺书》加盖公章留存，并保存采购档案资料备查。请采购人在中标通知书发出十五个工作日内，将签署完整的承诺书电子版发送区财政局国资科邮箱（qztsczgz@163.com）。</w:t>
      </w:r>
    </w:p>
    <w:p>
      <w:pPr>
        <w:pStyle w:val="4"/>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left="640" w:leftChars="0" w:right="0" w:rightChars="0"/>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黑体" w:hAnsi="黑体" w:eastAsia="黑体" w:cs="黑体"/>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三、其他要求</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firstLine="640"/>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将信用承诺纳入市场主体信用记录，是对市场主体事中事后监管、实施信用分类的重要依据。区财政局在政府采购监督管理工作中，若发现承诺对象实际情况与承诺内容不相符，将记录不良信用行为，纳入社会信用体系的失信惩戒机制进行管理。在政府采购项目监督检查时，区财政局将是否具备《信用承诺书》作为采购档案是否完整的依据之一。</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firstLine="640"/>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firstLine="640"/>
        <w:jc w:val="both"/>
        <w:textAlignment w:val="auto"/>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附件：1.采购人信用承诺书</w:t>
      </w:r>
    </w:p>
    <w:p>
      <w:pPr>
        <w:pStyle w:val="4"/>
        <w:keepNext w:val="0"/>
        <w:keepLines w:val="0"/>
        <w:pageBreakBefore w:val="0"/>
        <w:framePr w:wrap="auto" w:vAnchor="margin" w:hAnchor="text" w:yAlign="inline"/>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ind w:firstLine="1600" w:firstLineChars="500"/>
        <w:jc w:val="both"/>
        <w:textAlignment w:val="auto"/>
        <w:rPr>
          <w:rFonts w:hint="default"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Times New Roman" w:eastAsia="仿宋_GB2312" w:cs="Times New Roman"/>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2.采购代理机构信用承诺书</w:t>
      </w:r>
    </w:p>
    <w:p>
      <w:pPr>
        <w:jc w:val="both"/>
      </w:pPr>
    </w:p>
    <w:p/>
    <w:p/>
    <w:p/>
    <w:p/>
    <w:p/>
    <w:p/>
    <w:p>
      <w:pPr>
        <w:jc w:val="right"/>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 xml:space="preserve">泉州台商投资区管理委员会财政局               </w:t>
      </w:r>
    </w:p>
    <w:p>
      <w:pPr>
        <w:ind w:firstLine="5120" w:firstLineChars="1600"/>
        <w:jc w:val="both"/>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 xml:space="preserve"> </w:t>
      </w:r>
      <w:r>
        <w:rPr>
          <w:rFonts w:hint="eastAsia" w:ascii="Times New Roman" w:hAnsi="Times New Roman" w:eastAsia="仿宋_GB2312" w:cs="Times New Roman"/>
          <w:sz w:val="32"/>
          <w:szCs w:val="32"/>
          <w:rtl w:val="0"/>
          <w:lang w:val="en-US" w:eastAsia="zh-CN"/>
        </w:rPr>
        <w:t>2021年</w:t>
      </w:r>
      <w:r>
        <w:rPr>
          <w:rFonts w:hint="eastAsia" w:eastAsia="仿宋_GB2312" w:cs="Times New Roman"/>
          <w:sz w:val="32"/>
          <w:szCs w:val="32"/>
          <w:rtl w:val="0"/>
          <w:lang w:val="en-US" w:eastAsia="zh-CN"/>
        </w:rPr>
        <w:t>12</w:t>
      </w:r>
      <w:r>
        <w:rPr>
          <w:rFonts w:hint="eastAsia" w:ascii="Times New Roman" w:hAnsi="Times New Roman" w:eastAsia="仿宋_GB2312" w:cs="Times New Roman"/>
          <w:sz w:val="32"/>
          <w:szCs w:val="32"/>
          <w:rtl w:val="0"/>
          <w:lang w:val="en-US" w:eastAsia="zh-CN"/>
        </w:rPr>
        <w:t>月</w:t>
      </w:r>
      <w:r>
        <w:rPr>
          <w:rFonts w:hint="eastAsia" w:eastAsia="仿宋_GB2312" w:cs="Times New Roman"/>
          <w:sz w:val="32"/>
          <w:szCs w:val="32"/>
          <w:rtl w:val="0"/>
          <w:lang w:val="en-US" w:eastAsia="zh-CN"/>
        </w:rPr>
        <w:t>9</w:t>
      </w:r>
      <w:r>
        <w:rPr>
          <w:rFonts w:hint="eastAsia" w:ascii="Times New Roman" w:hAnsi="Times New Roman" w:eastAsia="仿宋_GB2312" w:cs="Times New Roman"/>
          <w:sz w:val="32"/>
          <w:szCs w:val="32"/>
          <w:rtl w:val="0"/>
          <w:lang w:val="en-US" w:eastAsia="zh-CN"/>
        </w:rPr>
        <w:t>日</w:t>
      </w:r>
      <w:r>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 xml:space="preserve">    </w:t>
      </w:r>
    </w:p>
    <w:p>
      <w:pPr>
        <w:ind w:firstLine="5120" w:firstLineChars="1600"/>
        <w:jc w:val="both"/>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p>
    <w:p>
      <w:pPr>
        <w:jc w:val="both"/>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pPr>
      <w:r>
        <w:rPr>
          <w:rFonts w:hint="eastAsia" w:ascii="仿宋_GB2312" w:hAnsi="仿宋_GB2312" w:eastAsia="仿宋_GB2312" w:cs="仿宋_GB2312"/>
          <w:b w:val="0"/>
          <w:bCs w:val="0"/>
          <w:i w:val="0"/>
          <w:iCs w:val="0"/>
          <w:caps w:val="0"/>
          <w:smallCaps w:val="0"/>
          <w:strike w:val="0"/>
          <w:dstrike w:val="0"/>
          <w:vanish w:val="0"/>
          <w:spacing w:val="0"/>
          <w:w w:val="100"/>
          <w:kern w:val="0"/>
          <w:position w:val="0"/>
          <w:sz w:val="32"/>
          <w:szCs w:val="32"/>
          <w:u w:val="none"/>
          <w:vertAlign w:val="baseline"/>
          <w:rtl w:val="0"/>
          <w:lang w:val="en-US" w:eastAsia="zh-CN" w:bidi="ar-SA"/>
        </w:rPr>
        <w:tab/>
      </w:r>
    </w:p>
    <w:sectPr>
      <w:pgSz w:w="11906" w:h="16838"/>
      <w:pgMar w:top="1928"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903B0"/>
    <w:rsid w:val="06224324"/>
    <w:rsid w:val="06245B62"/>
    <w:rsid w:val="07AC2855"/>
    <w:rsid w:val="09795C5D"/>
    <w:rsid w:val="0F70276D"/>
    <w:rsid w:val="0FEB4D67"/>
    <w:rsid w:val="158C1F5E"/>
    <w:rsid w:val="1D05458E"/>
    <w:rsid w:val="267B54A0"/>
    <w:rsid w:val="2F7903B0"/>
    <w:rsid w:val="31750EFD"/>
    <w:rsid w:val="3A654204"/>
    <w:rsid w:val="3C017566"/>
    <w:rsid w:val="3CE301C1"/>
    <w:rsid w:val="40153FD6"/>
    <w:rsid w:val="42747C37"/>
    <w:rsid w:val="4504461A"/>
    <w:rsid w:val="49E54A1A"/>
    <w:rsid w:val="4B674B1E"/>
    <w:rsid w:val="4D856D27"/>
    <w:rsid w:val="4F6B7811"/>
    <w:rsid w:val="525F5585"/>
    <w:rsid w:val="5299476A"/>
    <w:rsid w:val="6005151A"/>
    <w:rsid w:val="637F5A87"/>
    <w:rsid w:val="72B164CB"/>
    <w:rsid w:val="75EF25F8"/>
    <w:rsid w:val="7762504C"/>
    <w:rsid w:val="7B620B82"/>
    <w:rsid w:val="7C716E51"/>
    <w:rsid w:val="7D1E6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內文"/>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vertAlign w:val="baseline"/>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2021-12-09T01:17:00Z</dcterms:created>
  <dc:creator>Whitney</dc:creator>
  <cp:lastModifiedBy>Whitney</cp:lastModifiedBy>
  <cp:lastPrinted>2021-12-09T02:37:00Z</cp:lastPrinted>
  <dcterms:modified xsi:type="dcterms:W3CDTF">2021-12-13T03:25:13Z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BBF26A2F1A79454699252C0C498C8465</vt:lpwstr>
  </property>
</Properties>
</file>