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ind w:firstLine="908" w:firstLineChars="20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12"/>
          <w:sz w:val="43"/>
          <w:szCs w:val="43"/>
          <w:lang w:val="en-US" w:eastAsia="zh-CN"/>
        </w:rPr>
        <w:t>泉州台商投资区规划建设与交通运输管理局</w:t>
      </w:r>
      <w:r>
        <w:rPr>
          <w:rFonts w:ascii="宋体" w:hAnsi="宋体" w:eastAsia="宋体" w:cs="宋体"/>
          <w:spacing w:val="12"/>
          <w:sz w:val="43"/>
          <w:szCs w:val="43"/>
        </w:rPr>
        <w:t>信用承诺事项清单</w:t>
      </w:r>
    </w:p>
    <w:p/>
    <w:p>
      <w:pPr>
        <w:spacing w:line="51" w:lineRule="exact"/>
      </w:pPr>
    </w:p>
    <w:tbl>
      <w:tblPr>
        <w:tblStyle w:val="4"/>
        <w:tblW w:w="1459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630"/>
        <w:gridCol w:w="3158"/>
        <w:gridCol w:w="3105"/>
        <w:gridCol w:w="2391"/>
        <w:gridCol w:w="2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308" w:lineRule="auto"/>
              <w:ind w:right="1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行政机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关名称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308" w:lineRule="auto"/>
              <w:ind w:right="1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承诺事项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31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19" w:lineRule="auto"/>
              <w:ind w:firstLine="1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承诺类型（审批替代型/容缺受理型/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证明事项型/信用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修复型/行业自律</w:t>
            </w:r>
            <w:r>
              <w:rPr>
                <w:rFonts w:hint="eastAsia" w:ascii="仿宋_GB2312" w:hAnsi="仿宋_GB2312" w:eastAsia="仿宋_GB2312" w:cs="仿宋_GB2312"/>
                <w:spacing w:val="11"/>
                <w:w w:val="103"/>
                <w:sz w:val="21"/>
                <w:szCs w:val="21"/>
              </w:rPr>
              <w:t>型/主动型）</w:t>
            </w:r>
          </w:p>
        </w:tc>
        <w:tc>
          <w:tcPr>
            <w:tcW w:w="31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317" w:lineRule="auto"/>
              <w:ind w:right="1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承诺主体（自然人法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人个体工商户/社会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组织/事业单位等）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2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应用环节</w:t>
            </w:r>
          </w:p>
        </w:tc>
        <w:tc>
          <w:tcPr>
            <w:tcW w:w="2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5" w:line="21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责任科室及联系人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泉州台商投资区规划建设与交通运输局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建设用地规划许可证</w:t>
            </w:r>
          </w:p>
        </w:tc>
        <w:tc>
          <w:tcPr>
            <w:tcW w:w="31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w w:val="103"/>
                <w:sz w:val="21"/>
                <w:szCs w:val="21"/>
              </w:rPr>
              <w:t>主动型</w:t>
            </w:r>
          </w:p>
        </w:tc>
        <w:tc>
          <w:tcPr>
            <w:tcW w:w="31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自然人法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人个体工商户/社会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组织/事业单位等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以出让方式取得国有建设用地使用权的项目。建设用地规划许可证转为政府内部事项，土地出让合同签订时，政府直接核发用地规划许可证。</w:t>
            </w:r>
          </w:p>
        </w:tc>
        <w:tc>
          <w:tcPr>
            <w:tcW w:w="2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审批科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陈华伟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泉州台商投资区规划建设与交通运输局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建筑工程施工许可证核发</w:t>
            </w:r>
          </w:p>
        </w:tc>
        <w:tc>
          <w:tcPr>
            <w:tcW w:w="31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2" w:line="219" w:lineRule="auto"/>
              <w:ind w:firstLine="15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行业自律</w:t>
            </w:r>
            <w:r>
              <w:rPr>
                <w:rFonts w:hint="eastAsia" w:ascii="仿宋_GB2312" w:hAnsi="仿宋_GB2312" w:eastAsia="仿宋_GB2312" w:cs="仿宋_GB2312"/>
                <w:spacing w:val="11"/>
                <w:w w:val="103"/>
                <w:sz w:val="21"/>
                <w:szCs w:val="21"/>
              </w:rPr>
              <w:t>型</w:t>
            </w:r>
          </w:p>
        </w:tc>
        <w:tc>
          <w:tcPr>
            <w:tcW w:w="31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自然人法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人个体工商户/社会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组织/事业单位等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限额以下房屋建筑及市政基础设施建设工程。即投资额在100万元以下（含100万元）或建筑面积在500平方米以下（含500平方米）的建筑工程项目；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2.抢险救灾工程；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3.按照国务院规定的限权和程序批准开工报告的建筑工程。</w:t>
            </w:r>
          </w:p>
        </w:tc>
        <w:tc>
          <w:tcPr>
            <w:tcW w:w="2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审批科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陈华伟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泉州台商投资区规划建设与交通运输局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建设工程规划许可证</w:t>
            </w:r>
          </w:p>
        </w:tc>
        <w:tc>
          <w:tcPr>
            <w:tcW w:w="31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行业自律</w:t>
            </w:r>
            <w:r>
              <w:rPr>
                <w:rFonts w:hint="eastAsia" w:ascii="仿宋_GB2312" w:hAnsi="仿宋_GB2312" w:eastAsia="仿宋_GB2312" w:cs="仿宋_GB2312"/>
                <w:spacing w:val="11"/>
                <w:w w:val="103"/>
                <w:sz w:val="21"/>
                <w:szCs w:val="21"/>
              </w:rPr>
              <w:t>型</w:t>
            </w:r>
          </w:p>
        </w:tc>
        <w:tc>
          <w:tcPr>
            <w:tcW w:w="31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自然人法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人个体工商户/社会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组织/事业单位等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既有建筑二次装修、加固工程项目。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2.市政改造工程项目。</w:t>
            </w:r>
          </w:p>
        </w:tc>
        <w:tc>
          <w:tcPr>
            <w:tcW w:w="2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审批科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陈华伟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</w:trPr>
        <w:tc>
          <w:tcPr>
            <w:tcW w:w="137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泉州台商投资区规划建设与交通运输局</w:t>
            </w:r>
          </w:p>
        </w:tc>
        <w:tc>
          <w:tcPr>
            <w:tcW w:w="1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建设项目修建性详细规划及建设工程设计方案审查</w:t>
            </w:r>
          </w:p>
        </w:tc>
        <w:tc>
          <w:tcPr>
            <w:tcW w:w="31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行业自律</w:t>
            </w:r>
            <w:r>
              <w:rPr>
                <w:rFonts w:hint="eastAsia" w:ascii="仿宋_GB2312" w:hAnsi="仿宋_GB2312" w:eastAsia="仿宋_GB2312" w:cs="仿宋_GB2312"/>
                <w:spacing w:val="11"/>
                <w:w w:val="103"/>
                <w:sz w:val="21"/>
                <w:szCs w:val="21"/>
              </w:rPr>
              <w:t>型</w:t>
            </w:r>
          </w:p>
        </w:tc>
        <w:tc>
          <w:tcPr>
            <w:tcW w:w="310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自然人法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人个体工商户/社会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组织/事业单位等</w:t>
            </w:r>
          </w:p>
        </w:tc>
        <w:tc>
          <w:tcPr>
            <w:tcW w:w="2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社会投资简易风险项目（即未直接使用财政资金建设，地上建筑面积不大于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2000平方米且高度不大于24米，地下不超过一层且地下建筑面积不大于1000平方米，功能单一、技术要求简单的办公建筑、商业建筑、公共服务设施、普通仓库和厂房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审批科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陈华伟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89AC5"/>
    <w:multiLevelType w:val="singleLevel"/>
    <w:tmpl w:val="81089A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7DCFB0"/>
    <w:multiLevelType w:val="singleLevel"/>
    <w:tmpl w:val="C37DCF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7662"/>
    <w:rsid w:val="5F7F05C3"/>
    <w:rsid w:val="7FC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2021-12-07T02:58:00Z</dcterms:created>
  <dc:creator>PC</dc:creator>
  <cp:lastModifiedBy>Administrator</cp:lastModifiedBy>
  <cp:lastPrinted>2021-12-29T01:56:54Z</cp:lastPrinted>
  <dcterms:modified xsi:type="dcterms:W3CDTF">2021-12-29T01:57:01Z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D4F8DF7AE7F44318BBC1D7742C483066</vt:lpwstr>
  </property>
</Properties>
</file>