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76"/>
          <w:szCs w:val="76"/>
        </w:rPr>
      </w:pPr>
    </w:p>
    <w:p>
      <w:pPr>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581025</wp:posOffset>
                </wp:positionV>
                <wp:extent cx="5791835" cy="990600"/>
                <wp:effectExtent l="0" t="0" r="0" b="0"/>
                <wp:wrapNone/>
                <wp:docPr id="4" name="文本框 8"/>
                <wp:cNvGraphicFramePr/>
                <a:graphic xmlns:a="http://schemas.openxmlformats.org/drawingml/2006/main">
                  <a:graphicData uri="http://schemas.microsoft.com/office/word/2010/wordprocessingShape">
                    <wps:wsp>
                      <wps:cNvSpPr txBox="true"/>
                      <wps:spPr>
                        <a:xfrm>
                          <a:off x="0" y="0"/>
                          <a:ext cx="5791835" cy="990600"/>
                        </a:xfrm>
                        <a:prstGeom prst="rect">
                          <a:avLst/>
                        </a:prstGeom>
                        <a:noFill/>
                        <a:ln>
                          <a:noFill/>
                        </a:ln>
                        <a:effectLst/>
                      </wps:spPr>
                      <wps:txb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wps:txbx>
                      <wps:bodyPr vert="horz" wrap="square" anchor="t" anchorCtr="false" upright="true"/>
                    </wps:wsp>
                  </a:graphicData>
                </a:graphic>
              </wp:anchor>
            </w:drawing>
          </mc:Choice>
          <mc:Fallback>
            <w:pict>
              <v:shape id="文本框 8" o:spid="_x0000_s1026" o:spt="202" type="#_x0000_t202" style="position:absolute;left:0pt;margin-left:-7.6pt;margin-top:45.75pt;height:78pt;width:456.05pt;z-index:251661312;mso-width-relative:page;mso-height-relative:page;" filled="f" stroked="f" coordsize="21600,21600" o:gfxdata="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OM8o0HYAAAACgEAAA8AAAAAAAAAAQAgAAAAOAAA&#10;AGRycy9kb3ducmV2LnhtbFBLAQIUABQAAAAIAIdO4kDOdKsXuQEAAEsDAAAOAAAAAAAAAAEAIAAA&#10;AD0BAABkcnMvZTJvRG9jLnhtbFBLBQYAAAAABgAGAFkBAABoBQAAAAA=&#10;">
                <v:fill on="f" focussize="0,0"/>
                <v:stroke on="f"/>
                <v:imagedata o:title=""/>
                <o:lock v:ext="edit" aspectratio="f"/>
                <v:textbo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v:textbox>
              </v:shape>
            </w:pict>
          </mc:Fallback>
        </mc:AlternateContent>
      </w:r>
    </w:p>
    <w:p>
      <w:pPr>
        <w:rPr>
          <w:rFonts w:ascii="方正小标宋简体" w:eastAsia="方正小标宋简体"/>
          <w:sz w:val="76"/>
          <w:szCs w:val="76"/>
        </w:rPr>
      </w:pPr>
    </w:p>
    <w:p>
      <w:pPr>
        <w:tabs>
          <w:tab w:val="left" w:pos="2880"/>
        </w:tabs>
        <w:spacing w:line="580" w:lineRule="exact"/>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931545</wp:posOffset>
                </wp:positionV>
                <wp:extent cx="5609590" cy="0"/>
                <wp:effectExtent l="0" t="17780" r="10160" b="20320"/>
                <wp:wrapNone/>
                <wp:docPr id="5" name="直线 4"/>
                <wp:cNvGraphicFramePr/>
                <a:graphic xmlns:a="http://schemas.openxmlformats.org/drawingml/2006/main">
                  <a:graphicData uri="http://schemas.microsoft.com/office/word/2010/wordprocessingShape">
                    <wps:wsp>
                      <wps:cNvCnPr/>
                      <wps:spPr>
                        <a:xfrm>
                          <a:off x="0" y="0"/>
                          <a:ext cx="5609590" cy="0"/>
                        </a:xfrm>
                        <a:prstGeom prst="line">
                          <a:avLst/>
                        </a:prstGeom>
                        <a:ln w="35560" cap="flat" cmpd="sng">
                          <a:solidFill>
                            <a:srgbClr val="FF0000"/>
                          </a:solidFill>
                          <a:prstDash val="solid"/>
                          <a:headEnd type="none" w="med" len="med"/>
                          <a:tailEnd type="none" w="med" len="med"/>
                        </a:ln>
                        <a:effectLst/>
                      </wps:spPr>
                      <wps:bodyPr upright="true"/>
                    </wps:wsp>
                  </a:graphicData>
                </a:graphic>
              </wp:anchor>
            </w:drawing>
          </mc:Choice>
          <mc:Fallback>
            <w:pict>
              <v:line id="直线 4" o:spid="_x0000_s1026" o:spt="20" style="position:absolute;left:0pt;margin-left:0.55pt;margin-top:73.35pt;height:0pt;width:441.7pt;z-index:251660288;mso-width-relative:page;mso-height-relative:page;" filled="f" stroked="t" coordsize="21600,21600" o:gfxdata="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0&#10;lMLWAAAACQEAAA8AAAAAAAAAAQAgAAAAOAAAAGRycy9kb3ducmV2LnhtbFBLAQIUABQAAAAIAIdO&#10;4kAI+DF21gEAAJ8DAAAOAAAAAAAAAAEAIAAAADsBAABkcnMvZTJvRG9jLnhtbFBLBQYAAAAABgAG&#10;AFkBAACDBQAAAAA=&#10;">
                <v:fill on="f" focussize="0,0"/>
                <v:stroke weight="2.8pt" color="#FF0000" joinstyle="round"/>
                <v:imagedata o:title=""/>
                <o:lock v:ext="edit" aspectratio="f"/>
              </v:line>
            </w:pict>
          </mc:Fallback>
        </mc:AlternateContent>
      </w:r>
      <w:r>
        <w:rPr>
          <w:rFonts w:ascii="方正小标宋简体" w:eastAsia="方正小标宋简体"/>
          <w:sz w:val="76"/>
          <w:szCs w:val="76"/>
        </w:rPr>
        <w:tab/>
      </w:r>
    </w:p>
    <w:p>
      <w:pPr>
        <w:keepNext w:val="0"/>
        <w:keepLines w:val="0"/>
        <w:pageBreakBefore w:val="0"/>
        <w:widowControl w:val="0"/>
        <w:kinsoku/>
        <w:wordWrap/>
        <w:overflowPunct/>
        <w:topLinePunct w:val="0"/>
        <w:autoSpaceDE/>
        <w:autoSpaceDN/>
        <w:bidi w:val="0"/>
        <w:adjustRightInd/>
        <w:snapToGrid/>
        <w:spacing w:line="580" w:lineRule="exact"/>
        <w:ind w:left="315" w:leftChars="150" w:right="315" w:rightChars="150"/>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泉台管〔202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120</w:t>
      </w:r>
      <w:r>
        <w:rPr>
          <w:rFonts w:hint="default" w:ascii="Times New Roman" w:hAnsi="Times New Roman" w:eastAsia="仿宋_GB2312" w:cs="Times New Roman"/>
          <w:sz w:val="32"/>
          <w:szCs w:val="32"/>
        </w:rPr>
        <w:t>号</w:t>
      </w:r>
    </w:p>
    <w:p>
      <w:pPr>
        <w:keepNext w:val="0"/>
        <w:keepLines w:val="0"/>
        <w:pageBreakBefore w:val="0"/>
        <w:widowControl w:val="0"/>
        <w:tabs>
          <w:tab w:val="left" w:pos="2985"/>
        </w:tabs>
        <w:kinsoku w:val="0"/>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val="0"/>
        <w:wordWrap/>
        <w:overflowPunct w:val="0"/>
        <w:topLinePunct w:val="0"/>
        <w:autoSpaceDE/>
        <w:autoSpaceDN/>
        <w:bidi w:val="0"/>
        <w:adjustRightInd w:val="0"/>
        <w:snapToGrid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泉州台商投资区</w:t>
      </w:r>
      <w:r>
        <w:rPr>
          <w:rFonts w:hint="eastAsia" w:eastAsia="方正小标宋简体"/>
          <w:sz w:val="44"/>
          <w:szCs w:val="44"/>
          <w:lang w:val="en-US" w:eastAsia="zh-CN"/>
        </w:rPr>
        <w:t>管理</w:t>
      </w:r>
      <w:r>
        <w:rPr>
          <w:rFonts w:hint="eastAsia" w:ascii="Times New Roman" w:hAnsi="Times New Roman" w:eastAsia="方正小标宋简体"/>
          <w:sz w:val="44"/>
          <w:szCs w:val="44"/>
          <w:lang w:val="en-US" w:eastAsia="zh-CN"/>
        </w:rPr>
        <w:t>委员会</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关于王志洪等同志职务任免的通知</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eastAsia="方正小标宋简体"/>
          <w:sz w:val="44"/>
          <w:szCs w:val="44"/>
          <w:lang w:val="en-US" w:eastAsia="zh-CN"/>
        </w:rPr>
      </w:pPr>
    </w:p>
    <w:p>
      <w:pPr>
        <w:keepNext w:val="0"/>
        <w:keepLines w:val="0"/>
        <w:pageBreakBefore w:val="0"/>
        <w:kinsoku/>
        <w:wordWrap/>
        <w:overflowPunct/>
        <w:topLinePunct w:val="0"/>
        <w:autoSpaceDE/>
        <w:autoSpaceDN/>
        <w:bidi w:val="0"/>
        <w:adjustRightIn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各乡镇人民政府，区直各部门：</w:t>
      </w:r>
    </w:p>
    <w:p>
      <w:pPr>
        <w:keepNext w:val="0"/>
        <w:keepLines w:val="0"/>
        <w:pageBreakBefore w:val="0"/>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经研究决定：</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王志洪同志任泉州台商投资</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管理委员会民生保障局副局长（试用期一年）；</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何春燕同志任泉州台商投资区管理委员会市场监督管理局洛阳镇市场监督管理所所长，免去其东园镇市场监督管理所所长职务；</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蔡剑智同志任泉州台商投资区管理委员会市场监督管理局东园镇市场监督管理所所长，免去其洛阳镇市场监督管理所所长职务；</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苏安妮同志任百崎司法所所长（试用期一年）；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苏仲鸣同志任</w:t>
      </w:r>
      <w:r>
        <w:rPr>
          <w:rFonts w:hint="eastAsia" w:ascii="仿宋_GB2312" w:hAnsi="仿宋_GB2312" w:eastAsia="仿宋_GB2312" w:cs="仿宋_GB2312"/>
          <w:color w:val="auto"/>
          <w:sz w:val="32"/>
          <w:szCs w:val="32"/>
          <w:lang w:val="en-US" w:eastAsia="zh-CN"/>
        </w:rPr>
        <w:t>泉州台商投资</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市场服务与消费者权益保护中心主任（试用期一年）；</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免去庄碧玉同志</w:t>
      </w:r>
      <w:r>
        <w:rPr>
          <w:rFonts w:hint="eastAsia" w:ascii="仿宋_GB2312" w:hAnsi="仿宋_GB2312" w:eastAsia="仿宋_GB2312" w:cs="仿宋_GB2312"/>
          <w:color w:val="auto"/>
          <w:sz w:val="32"/>
          <w:szCs w:val="32"/>
          <w:lang w:val="en-US" w:eastAsia="zh-CN"/>
        </w:rPr>
        <w:t>泉州台商投资区管理委员会科技经济发展局综合科科长职务；</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eastAsia="仿宋_GB2312" w:cs="Times New Roman"/>
          <w:color w:val="auto"/>
          <w:sz w:val="32"/>
          <w:szCs w:val="32"/>
          <w:lang w:eastAsia="zh-CN"/>
        </w:rPr>
        <w:t>免去杨杞河同志</w:t>
      </w:r>
      <w:r>
        <w:rPr>
          <w:rFonts w:hint="eastAsia" w:ascii="仿宋_GB2312" w:hAnsi="仿宋_GB2312" w:eastAsia="仿宋_GB2312" w:cs="仿宋_GB2312"/>
          <w:color w:val="auto"/>
          <w:sz w:val="32"/>
          <w:szCs w:val="32"/>
          <w:lang w:val="en-US" w:eastAsia="zh-CN"/>
        </w:rPr>
        <w:t>泉州台商投资</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管理委员会民生保障局副局长职务；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免去黄金坠同志</w:t>
      </w:r>
      <w:r>
        <w:rPr>
          <w:rFonts w:hint="eastAsia" w:ascii="仿宋_GB2312" w:hAnsi="仿宋_GB2312" w:eastAsia="仿宋_GB2312" w:cs="仿宋_GB2312"/>
          <w:color w:val="auto"/>
          <w:sz w:val="32"/>
          <w:szCs w:val="32"/>
          <w:lang w:val="en-US" w:eastAsia="zh-CN"/>
        </w:rPr>
        <w:t>泉州台商投资</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管理委员会综合执法与应急管理局综合科科长职务；</w:t>
      </w:r>
    </w:p>
    <w:p>
      <w:pPr>
        <w:keepNext w:val="0"/>
        <w:keepLines w:val="0"/>
        <w:pageBreakBefore w:val="0"/>
        <w:wordWrap/>
        <w:topLinePunct w:val="0"/>
        <w:autoSpaceDE/>
        <w:autoSpaceDN/>
        <w:bidi w:val="0"/>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免去</w:t>
      </w:r>
      <w:r>
        <w:rPr>
          <w:rFonts w:hint="eastAsia" w:ascii="仿宋_GB2312" w:hAnsi="仿宋_GB2312" w:eastAsia="仿宋_GB2312" w:cs="仿宋_GB2312"/>
          <w:color w:val="auto"/>
          <w:sz w:val="32"/>
          <w:szCs w:val="32"/>
          <w:lang w:val="en-US" w:eastAsia="zh-CN"/>
        </w:rPr>
        <w:t>徐晟同志</w:t>
      </w:r>
      <w:r>
        <w:rPr>
          <w:rFonts w:hint="eastAsia" w:ascii="仿宋_GB2312" w:hAnsi="仿宋_GB2312" w:eastAsia="仿宋_GB2312" w:cs="仿宋_GB2312"/>
          <w:sz w:val="32"/>
          <w:szCs w:val="32"/>
          <w:lang w:val="en-US" w:eastAsia="zh-CN"/>
        </w:rPr>
        <w:t>泉州台商投资区台胞台企服务中心（社会事业发展服务中心）</w:t>
      </w:r>
      <w:r>
        <w:rPr>
          <w:rFonts w:hint="eastAsia" w:ascii="仿宋_GB2312" w:hAnsi="仿宋_GB2312" w:eastAsia="仿宋_GB2312" w:cs="仿宋_GB2312"/>
          <w:color w:val="auto"/>
          <w:sz w:val="32"/>
          <w:szCs w:val="32"/>
          <w:lang w:val="en-US" w:eastAsia="zh-CN"/>
        </w:rPr>
        <w:t>副主任职务。</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eastAsia="zh-CN"/>
        </w:rPr>
      </w:pP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4160" w:firstLineChars="13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泉州台商投资区管理委员会</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4800" w:firstLineChars="15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2024年12月24日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（此件主动公开）</w:t>
      </w:r>
      <w:bookmarkStart w:id="0" w:name="_GoBack"/>
      <w:bookmarkEnd w:id="0"/>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3840" w:firstLineChars="1200"/>
        <w:jc w:val="both"/>
        <w:textAlignment w:val="auto"/>
        <w:rPr>
          <w:rFonts w:hint="eastAsia" w:ascii="Times New Roman" w:hAnsi="Times New Roman" w:eastAsia="仿宋_GB2312" w:cs="Times New Roman"/>
          <w:color w:val="auto"/>
          <w:sz w:val="32"/>
          <w:szCs w:val="32"/>
          <w:lang w:val="en-US" w:eastAsia="zh-CN"/>
        </w:rPr>
      </w:pP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3840" w:firstLineChars="1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color w:val="auto"/>
          <w:w w:val="90"/>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color w:val="auto"/>
          <w:w w:val="90"/>
          <w:sz w:val="32"/>
          <w:szCs w:val="32"/>
          <w:highlight w:val="none"/>
        </w:rPr>
      </w:pPr>
    </w:p>
    <w:p>
      <w:pPr>
        <w:rPr>
          <w:rFonts w:hint="eastAsia"/>
          <w:lang w:eastAsia="zh-CN"/>
        </w:rPr>
      </w:pPr>
    </w:p>
    <w:p>
      <w:pPr>
        <w:keepNext w:val="0"/>
        <w:keepLines w:val="0"/>
        <w:pageBreakBefore w:val="0"/>
        <w:widowControl w:val="0"/>
        <w:tabs>
          <w:tab w:val="left" w:pos="7371"/>
          <w:tab w:val="left" w:pos="7513"/>
        </w:tabs>
        <w:kinsoku/>
        <w:wordWrap/>
        <w:overflowPunct/>
        <w:topLinePunct w:val="0"/>
        <w:autoSpaceDE/>
        <w:autoSpaceDN/>
        <w:bidi w:val="0"/>
        <w:adjustRightInd w:val="0"/>
        <w:snapToGrid/>
        <w:spacing w:line="580" w:lineRule="exact"/>
        <w:ind w:left="315" w:leftChars="150" w:right="315" w:rightChars="150"/>
        <w:textAlignment w:val="auto"/>
        <w:rPr>
          <w:rFonts w:hint="default" w:ascii="Times New Roman" w:hAnsi="Times New Roman" w:eastAsia="仿宋_GB2312" w:cs="Times New Roman"/>
          <w:spacing w:val="0"/>
          <w:sz w:val="28"/>
          <w:szCs w:val="28"/>
          <w:highlight w:val="none"/>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413385</wp:posOffset>
                </wp:positionV>
                <wp:extent cx="5600700" cy="0"/>
                <wp:effectExtent l="0" t="4445" r="0" b="5080"/>
                <wp:wrapNone/>
                <wp:docPr id="9"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7" o:spid="_x0000_s1026" o:spt="20" style="position:absolute;left:0pt;margin-left:0.75pt;margin-top:32.55pt;height:0pt;width:441pt;z-index:251664384;mso-width-relative:page;mso-height-relative:page;" filled="f" stroked="t" coordsize="21600,21600" o:gfxdata="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xexp/9IAAAAH&#10;AQAADwAAAAAAAAABACAAAAA4AAAAZHJzL2Rvd25yZXYueG1sUEsBAhQAFAAAAAgAh07iQFI0ayfT&#10;AQAAngMAAA4AAAAAAAAAAQAgAAAANwEAAGRycy9lMm9Eb2MueG1sUEsFBgAAAAAGAAYAWQEAAHwF&#10;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50800</wp:posOffset>
                </wp:positionV>
                <wp:extent cx="5600700" cy="0"/>
                <wp:effectExtent l="0" t="4445" r="0" b="5080"/>
                <wp:wrapNone/>
                <wp:docPr id="10"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6" o:spid="_x0000_s1026" o:spt="20" style="position:absolute;left:0pt;margin-left:0pt;margin-top:4pt;height:0pt;width:441pt;z-index:251663360;mso-width-relative:page;mso-height-relative:page;" filled="f" stroked="t" coordsize="21600,21600" o:gfxdata="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bxAWNIAAAAE&#10;AQAADwAAAAAAAAABACAAAAA4AAAAZHJzL2Rvd25yZXYueG1sUEsBAhQAFAAAAAgAh07iQCRke4rT&#10;AQAAnwMAAA4AAAAAAAAAAQAgAAAANwEAAGRycy9lMm9Eb2MueG1sUEsFBgAAAAAGAAYAWQEAAHwF&#10;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泉州台商投资区管委会办公室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val="0"/>
          <w:bCs w:val="0"/>
          <w:sz w:val="28"/>
          <w:szCs w:val="28"/>
        </w:rPr>
        <w:t xml:space="preserve"> 202</w:t>
      </w:r>
      <w:r>
        <w:rPr>
          <w:rFonts w:hint="default"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rPr>
        <w:t>年</w:t>
      </w:r>
      <w:r>
        <w:rPr>
          <w:rFonts w:hint="eastAsia" w:ascii="Times New Roman" w:hAnsi="Times New Roman" w:eastAsia="宋体" w:cs="Times New Roman"/>
          <w:b w:val="0"/>
          <w:bCs w:val="0"/>
          <w:sz w:val="28"/>
          <w:szCs w:val="28"/>
          <w:lang w:val="en-US" w:eastAsia="zh-CN"/>
        </w:rPr>
        <w:t>12</w:t>
      </w:r>
      <w:r>
        <w:rPr>
          <w:rFonts w:hint="default" w:ascii="Times New Roman" w:hAnsi="Times New Roman" w:eastAsia="仿宋_GB2312" w:cs="Times New Roman"/>
          <w:b w:val="0"/>
          <w:bCs w:val="0"/>
          <w:sz w:val="28"/>
          <w:szCs w:val="28"/>
        </w:rPr>
        <w:t>月</w:t>
      </w:r>
      <w:r>
        <w:rPr>
          <w:rFonts w:hint="eastAsia" w:ascii="Times New Roman" w:hAnsi="Times New Roman" w:eastAsia="仿宋_GB2312" w:cs="Times New Roman"/>
          <w:b w:val="0"/>
          <w:bCs w:val="0"/>
          <w:sz w:val="28"/>
          <w:szCs w:val="28"/>
          <w:lang w:val="en-US" w:eastAsia="zh-CN"/>
        </w:rPr>
        <w:t>24</w:t>
      </w:r>
      <w:r>
        <w:rPr>
          <w:rFonts w:hint="default" w:ascii="Times New Roman" w:hAnsi="Times New Roman" w:eastAsia="仿宋_GB2312" w:cs="Times New Roman"/>
          <w:b w:val="0"/>
          <w:bCs w:val="0"/>
          <w:sz w:val="28"/>
          <w:szCs w:val="28"/>
        </w:rPr>
        <w:t>日印发</w:t>
      </w:r>
    </w:p>
    <w:sectPr>
      <w:footerReference r:id="rId3" w:type="default"/>
      <w:pgSz w:w="11906" w:h="16838"/>
      <w:pgMar w:top="192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DCAF0"/>
    <w:rsid w:val="06FB7B46"/>
    <w:rsid w:val="06FEF809"/>
    <w:rsid w:val="1F19AA18"/>
    <w:rsid w:val="1F7D9242"/>
    <w:rsid w:val="2E5F8A44"/>
    <w:rsid w:val="2F7F9773"/>
    <w:rsid w:val="3AB3F5D4"/>
    <w:rsid w:val="3DF784B7"/>
    <w:rsid w:val="4F0004FD"/>
    <w:rsid w:val="537F6505"/>
    <w:rsid w:val="57CA962C"/>
    <w:rsid w:val="58FC9BED"/>
    <w:rsid w:val="5FFF87FD"/>
    <w:rsid w:val="67F41F64"/>
    <w:rsid w:val="6F7BE1EC"/>
    <w:rsid w:val="6F7FEE21"/>
    <w:rsid w:val="6FDF1170"/>
    <w:rsid w:val="71FECB11"/>
    <w:rsid w:val="736FE991"/>
    <w:rsid w:val="73DD2253"/>
    <w:rsid w:val="76DF0566"/>
    <w:rsid w:val="77A91D6B"/>
    <w:rsid w:val="77CE1E67"/>
    <w:rsid w:val="77D3DB33"/>
    <w:rsid w:val="7A7FA61D"/>
    <w:rsid w:val="7B6844E5"/>
    <w:rsid w:val="7BBB1D88"/>
    <w:rsid w:val="7BD74B7B"/>
    <w:rsid w:val="7C7FB450"/>
    <w:rsid w:val="7DAFFD24"/>
    <w:rsid w:val="7DB1B59C"/>
    <w:rsid w:val="7E7707FD"/>
    <w:rsid w:val="7EF3883F"/>
    <w:rsid w:val="7F3DCAF0"/>
    <w:rsid w:val="7F5FE816"/>
    <w:rsid w:val="7FDD4BC1"/>
    <w:rsid w:val="7FDF4ADB"/>
    <w:rsid w:val="9C2FD4EC"/>
    <w:rsid w:val="9EB6CDCC"/>
    <w:rsid w:val="9FD7AC70"/>
    <w:rsid w:val="B7F75888"/>
    <w:rsid w:val="BDBF3471"/>
    <w:rsid w:val="BFFE31F6"/>
    <w:rsid w:val="C73F17EE"/>
    <w:rsid w:val="D5DBD609"/>
    <w:rsid w:val="D73C6950"/>
    <w:rsid w:val="D7774B79"/>
    <w:rsid w:val="D97F646F"/>
    <w:rsid w:val="DDFF013F"/>
    <w:rsid w:val="DF8F7401"/>
    <w:rsid w:val="DFF7698E"/>
    <w:rsid w:val="EA6B4FF5"/>
    <w:rsid w:val="EFDB4C26"/>
    <w:rsid w:val="EFF781AF"/>
    <w:rsid w:val="EFFF9E0C"/>
    <w:rsid w:val="F17E913D"/>
    <w:rsid w:val="F376311D"/>
    <w:rsid w:val="FB6FF808"/>
    <w:rsid w:val="FBFB282A"/>
    <w:rsid w:val="FD7CD44B"/>
    <w:rsid w:val="FDBF4947"/>
    <w:rsid w:val="FDFF5A0E"/>
    <w:rsid w:val="FF9FFE08"/>
    <w:rsid w:val="FFC4FFAA"/>
    <w:rsid w:val="FFFA1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2021-06-06T01:41:00Z</dcterms:created>
  <dc:creator>baixin</dc:creator>
  <cp:lastModifiedBy>baixin</cp:lastModifiedBy>
  <cp:lastPrinted>2022-11-24T22:35:00Z</cp:lastPrinted>
  <dcterms:modified xsi:type="dcterms:W3CDTF">2025-01-13T16:34:36Z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9AEE0FBCC42EA0038F816A67D96F912B</vt:lpwstr>
  </property>
</Properties>
</file>