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z w:val="76"/>
          <w:szCs w:val="76"/>
        </w:rPr>
      </w:pPr>
    </w:p>
    <w:p>
      <w:pPr>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581025</wp:posOffset>
                </wp:positionV>
                <wp:extent cx="5791835" cy="9906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5791835" cy="990600"/>
                        </a:xfrm>
                        <a:prstGeom prst="rect">
                          <a:avLst/>
                        </a:prstGeom>
                        <a:noFill/>
                        <a:ln>
                          <a:noFill/>
                        </a:ln>
                        <a:effectLst/>
                      </wps:spPr>
                      <wps:txb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wps:txbx>
                      <wps:bodyPr vert="horz" wrap="square" anchor="t" anchorCtr="0" upright="1"/>
                    </wps:wsp>
                  </a:graphicData>
                </a:graphic>
              </wp:anchor>
            </w:drawing>
          </mc:Choice>
          <mc:Fallback>
            <w:pict>
              <v:shape id="文本框 8" o:spid="_x0000_s1026" o:spt="202" type="#_x0000_t202" style="position:absolute;left:0pt;margin-left:-7.6pt;margin-top:45.75pt;height:78pt;width:456.05pt;z-index:251660288;mso-width-relative:page;mso-height-relative:page;" filled="f" stroked="f" coordsize="21600,21600" o:gfxdata="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">
                <v:fill on="f" focussize="0,0"/>
                <v:stroke on="f"/>
                <v:imagedata o:title=""/>
                <o:lock v:ext="edit" aspectratio="f"/>
                <v:textbox>
                  <w:txbxContent>
                    <w:p>
                      <w:pPr>
                        <w:jc w:val="distribute"/>
                        <w:rPr>
                          <w:rFonts w:hint="eastAsia" w:ascii="方正小标宋简体" w:eastAsia="方正小标宋简体"/>
                          <w:color w:val="FF0000"/>
                          <w:w w:val="66"/>
                          <w:sz w:val="96"/>
                          <w:szCs w:val="96"/>
                        </w:rPr>
                      </w:pPr>
                      <w:r>
                        <w:rPr>
                          <w:rFonts w:hint="eastAsia" w:ascii="方正小标宋简体" w:eastAsia="方正小标宋简体"/>
                          <w:color w:val="FF0000"/>
                          <w:w w:val="66"/>
                          <w:sz w:val="96"/>
                          <w:szCs w:val="96"/>
                        </w:rPr>
                        <w:t>泉州台商投资区管理委员会文件</w:t>
                      </w:r>
                    </w:p>
                  </w:txbxContent>
                </v:textbox>
              </v:shape>
            </w:pict>
          </mc:Fallback>
        </mc:AlternateContent>
      </w:r>
    </w:p>
    <w:p>
      <w:pPr>
        <w:rPr>
          <w:rFonts w:ascii="方正小标宋简体" w:eastAsia="方正小标宋简体"/>
          <w:sz w:val="76"/>
          <w:szCs w:val="76"/>
        </w:rPr>
      </w:pPr>
    </w:p>
    <w:p>
      <w:pPr>
        <w:tabs>
          <w:tab w:val="left" w:pos="2880"/>
        </w:tabs>
        <w:spacing w:line="580" w:lineRule="exact"/>
        <w:rPr>
          <w:rFonts w:ascii="方正小标宋简体" w:eastAsia="方正小标宋简体"/>
          <w:sz w:val="76"/>
          <w:szCs w:val="76"/>
        </w:rPr>
      </w:pPr>
      <w:r>
        <w:rPr>
          <w:rFonts w:hint="eastAsia" w:ascii="方正小标宋简体" w:eastAsia="方正小标宋简体"/>
          <w:color w:val="FF0000"/>
          <w:sz w:val="76"/>
          <w:szCs w:val="76"/>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931545</wp:posOffset>
                </wp:positionV>
                <wp:extent cx="5609590" cy="0"/>
                <wp:effectExtent l="0" t="17780" r="10160" b="20320"/>
                <wp:wrapNone/>
                <wp:docPr id="5" name="直线 4"/>
                <wp:cNvGraphicFramePr/>
                <a:graphic xmlns:a="http://schemas.openxmlformats.org/drawingml/2006/main">
                  <a:graphicData uri="http://schemas.microsoft.com/office/word/2010/wordprocessingShape">
                    <wps:wsp>
                      <wps:cNvCnPr/>
                      <wps:spPr>
                        <a:xfrm>
                          <a:off x="0" y="0"/>
                          <a:ext cx="5609590" cy="0"/>
                        </a:xfrm>
                        <a:prstGeom prst="line">
                          <a:avLst/>
                        </a:prstGeom>
                        <a:ln w="35560"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55pt;margin-top:73.35pt;height:0pt;width:441.7pt;z-index:251659264;mso-width-relative:page;mso-height-relative:page;" filled="f" stroked="t" coordsize="21600,21600" o:gfxdata="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">
                <v:fill on="f" focussize="0,0"/>
                <v:stroke weight="2.8pt" color="#FF0000" joinstyle="round"/>
                <v:imagedata o:title=""/>
                <o:lock v:ext="edit" aspectratio="f"/>
              </v:line>
            </w:pict>
          </mc:Fallback>
        </mc:AlternateContent>
      </w:r>
      <w:r>
        <w:rPr>
          <w:rFonts w:ascii="方正小标宋简体" w:eastAsia="方正小标宋简体"/>
          <w:sz w:val="76"/>
          <w:szCs w:val="76"/>
        </w:rPr>
        <w:tab/>
      </w:r>
    </w:p>
    <w:p>
      <w:pPr>
        <w:keepNext w:val="0"/>
        <w:keepLines w:val="0"/>
        <w:pageBreakBefore w:val="0"/>
        <w:widowControl w:val="0"/>
        <w:kinsoku/>
        <w:wordWrap/>
        <w:overflowPunct/>
        <w:topLinePunct w:val="0"/>
        <w:autoSpaceDE/>
        <w:autoSpaceDN/>
        <w:bidi w:val="0"/>
        <w:adjustRightInd/>
        <w:snapToGrid/>
        <w:spacing w:line="580" w:lineRule="exact"/>
        <w:ind w:left="315" w:leftChars="150" w:right="315" w:rightChars="150"/>
        <w:jc w:val="center"/>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泉台管〔202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76</w:t>
      </w:r>
      <w:r>
        <w:rPr>
          <w:rFonts w:hint="default" w:ascii="Times New Roman" w:hAnsi="Times New Roman" w:eastAsia="仿宋_GB2312" w:cs="Times New Roman"/>
          <w:sz w:val="32"/>
          <w:szCs w:val="32"/>
        </w:rPr>
        <w:t>号</w:t>
      </w:r>
    </w:p>
    <w:p>
      <w:pPr>
        <w:keepNext w:val="0"/>
        <w:keepLines w:val="0"/>
        <w:pageBreakBefore w:val="0"/>
        <w:widowControl w:val="0"/>
        <w:tabs>
          <w:tab w:val="left" w:pos="2985"/>
        </w:tabs>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rPr>
      </w:pPr>
    </w:p>
    <w:p>
      <w:pPr>
        <w:keepNext w:val="0"/>
        <w:keepLines w:val="0"/>
        <w:pageBreakBefore w:val="0"/>
        <w:widowControl w:val="0"/>
        <w:kinsoku/>
        <w:overflowPunct/>
        <w:topLinePunct w:val="0"/>
        <w:autoSpaceDE/>
        <w:autoSpaceDN/>
        <w:bidi w:val="0"/>
        <w:adjustRightInd/>
        <w:snapToGrid w:val="0"/>
        <w:spacing w:line="500" w:lineRule="exact"/>
        <w:jc w:val="center"/>
        <w:textAlignment w:val="auto"/>
        <w:rPr>
          <w:rStyle w:val="12"/>
          <w:rFonts w:hint="default" w:ascii="Times New Roman" w:hAnsi="Times New Roman" w:eastAsia="方正小标宋简体" w:cs="Times New Roman"/>
          <w:bCs/>
          <w:spacing w:val="-11"/>
          <w:kern w:val="0"/>
          <w:sz w:val="44"/>
          <w:szCs w:val="44"/>
        </w:rPr>
      </w:pPr>
      <w:r>
        <w:rPr>
          <w:rFonts w:hint="default" w:ascii="Times New Roman" w:hAnsi="Times New Roman" w:eastAsia="方正小标宋简体" w:cs="Times New Roman"/>
          <w:bCs/>
          <w:spacing w:val="-11"/>
          <w:sz w:val="44"/>
          <w:szCs w:val="44"/>
        </w:rPr>
        <w:t>泉州台商投资区管</w:t>
      </w:r>
      <w:r>
        <w:rPr>
          <w:rFonts w:hint="default" w:ascii="Times New Roman" w:hAnsi="Times New Roman" w:eastAsia="方正小标宋简体" w:cs="Times New Roman"/>
          <w:bCs/>
          <w:spacing w:val="-11"/>
          <w:sz w:val="44"/>
          <w:szCs w:val="44"/>
          <w:lang w:eastAsia="zh-CN"/>
        </w:rPr>
        <w:t>理</w:t>
      </w:r>
      <w:r>
        <w:rPr>
          <w:rFonts w:hint="default" w:ascii="Times New Roman" w:hAnsi="Times New Roman" w:eastAsia="方正小标宋简体" w:cs="Times New Roman"/>
          <w:bCs/>
          <w:spacing w:val="-11"/>
          <w:sz w:val="44"/>
          <w:szCs w:val="44"/>
        </w:rPr>
        <w:t>委</w:t>
      </w:r>
      <w:r>
        <w:rPr>
          <w:rFonts w:hint="default" w:ascii="Times New Roman" w:hAnsi="Times New Roman" w:eastAsia="方正小标宋简体" w:cs="Times New Roman"/>
          <w:bCs/>
          <w:spacing w:val="-11"/>
          <w:sz w:val="44"/>
          <w:szCs w:val="44"/>
          <w:lang w:eastAsia="zh-CN"/>
        </w:rPr>
        <w:t>员</w:t>
      </w:r>
      <w:r>
        <w:rPr>
          <w:rFonts w:hint="default" w:ascii="Times New Roman" w:hAnsi="Times New Roman" w:eastAsia="方正小标宋简体" w:cs="Times New Roman"/>
          <w:bCs/>
          <w:spacing w:val="-11"/>
          <w:sz w:val="44"/>
          <w:szCs w:val="44"/>
        </w:rPr>
        <w:t>会关于</w:t>
      </w:r>
      <w:r>
        <w:rPr>
          <w:rStyle w:val="12"/>
          <w:rFonts w:hint="default" w:ascii="Times New Roman" w:hAnsi="Times New Roman" w:eastAsia="方正小标宋简体" w:cs="Times New Roman"/>
          <w:bCs/>
          <w:spacing w:val="-11"/>
          <w:kern w:val="0"/>
          <w:sz w:val="44"/>
          <w:szCs w:val="44"/>
        </w:rPr>
        <w:t>泉州台商投资区玉溪花苑安置项目（第二批次）回迁</w:t>
      </w:r>
    </w:p>
    <w:p>
      <w:pPr>
        <w:keepNext w:val="0"/>
        <w:keepLines w:val="0"/>
        <w:pageBreakBefore w:val="0"/>
        <w:widowControl w:val="0"/>
        <w:kinsoku/>
        <w:overflowPunct/>
        <w:topLinePunct w:val="0"/>
        <w:autoSpaceDE/>
        <w:autoSpaceDN/>
        <w:bidi w:val="0"/>
        <w:adjustRightInd/>
        <w:snapToGrid w:val="0"/>
        <w:spacing w:line="500" w:lineRule="exact"/>
        <w:jc w:val="center"/>
        <w:textAlignment w:val="auto"/>
        <w:rPr>
          <w:rStyle w:val="12"/>
          <w:rFonts w:hint="default" w:ascii="Times New Roman" w:hAnsi="Times New Roman" w:eastAsia="方正小标宋简体" w:cs="Times New Roman"/>
          <w:bCs/>
          <w:spacing w:val="-11"/>
          <w:kern w:val="0"/>
          <w:sz w:val="44"/>
          <w:szCs w:val="44"/>
        </w:rPr>
      </w:pPr>
      <w:r>
        <w:rPr>
          <w:rStyle w:val="12"/>
          <w:rFonts w:hint="default" w:ascii="Times New Roman" w:hAnsi="Times New Roman" w:eastAsia="方正小标宋简体" w:cs="Times New Roman"/>
          <w:bCs/>
          <w:spacing w:val="-11"/>
          <w:kern w:val="0"/>
          <w:sz w:val="44"/>
          <w:szCs w:val="44"/>
        </w:rPr>
        <w:t>选房安置实施办法的批复</w:t>
      </w:r>
    </w:p>
    <w:p>
      <w:pPr>
        <w:keepNext w:val="0"/>
        <w:keepLines w:val="0"/>
        <w:pageBreakBefore w:val="0"/>
        <w:widowControl w:val="0"/>
        <w:kinsoku/>
        <w:overflowPunct/>
        <w:topLinePunct w:val="0"/>
        <w:autoSpaceDE/>
        <w:autoSpaceDN/>
        <w:bidi w:val="0"/>
        <w:adjustRightInd/>
        <w:snapToGrid/>
        <w:spacing w:line="500" w:lineRule="exact"/>
        <w:jc w:val="both"/>
        <w:textAlignment w:val="auto"/>
        <w:rPr>
          <w:rFonts w:hint="default" w:ascii="Times New Roman" w:hAnsi="Times New Roman" w:cs="Times New Roman"/>
          <w:b/>
          <w:sz w:val="36"/>
          <w:szCs w:val="36"/>
        </w:rPr>
      </w:pPr>
    </w:p>
    <w:p>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泉州台商投资区张坂片区项目土地房屋征收</w:t>
      </w:r>
      <w:bookmarkStart w:id="0" w:name="_GoBack"/>
      <w:bookmarkEnd w:id="0"/>
      <w:r>
        <w:rPr>
          <w:rFonts w:hint="default" w:ascii="Times New Roman" w:hAnsi="Times New Roman" w:eastAsia="仿宋_GB2312" w:cs="Times New Roman"/>
          <w:color w:val="000000"/>
          <w:kern w:val="0"/>
          <w:sz w:val="32"/>
          <w:szCs w:val="32"/>
          <w:lang w:val="en-US" w:eastAsia="zh-CN"/>
        </w:rPr>
        <w:t>拆迁指挥部：</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你部报来的《关于泉州台商投资区玉溪花苑安置项目（第二批次）回迁选房安置实施办法的请示》（泉台张征指〔2024〕9号）收悉。经研究，原则同意《泉州台商投资区玉溪花苑安置项目（第二批次）回迁选房安置实施办法》，请你部根据实施办法的有关规定，认真组织实施。</w:t>
      </w:r>
    </w:p>
    <w:p>
      <w:pPr>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此复。</w:t>
      </w:r>
    </w:p>
    <w:p>
      <w:pPr>
        <w:keepNext w:val="0"/>
        <w:keepLines w:val="0"/>
        <w:pageBreakBefore w:val="0"/>
        <w:widowControl w:val="0"/>
        <w:kinsoku/>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500" w:lineRule="exact"/>
        <w:ind w:firstLine="3840" w:firstLineChars="1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泉州台商投资区管理委员会</w:t>
      </w:r>
    </w:p>
    <w:p>
      <w:pPr>
        <w:keepNext w:val="0"/>
        <w:keepLines w:val="0"/>
        <w:pageBreakBefore w:val="0"/>
        <w:widowControl w:val="0"/>
        <w:kinsoku/>
        <w:overflowPunct/>
        <w:topLinePunct w:val="0"/>
        <w:autoSpaceDE/>
        <w:autoSpaceDN/>
        <w:bidi w:val="0"/>
        <w:adjustRightInd/>
        <w:snapToGrid/>
        <w:spacing w:line="500" w:lineRule="exact"/>
        <w:ind w:firstLine="960" w:firstLine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2024年7月25日</w:t>
      </w:r>
    </w:p>
    <w:p>
      <w:pPr>
        <w:pStyle w:val="2"/>
        <w:ind w:firstLine="640" w:firstLineChars="200"/>
        <w:rPr>
          <w:rFonts w:hint="default"/>
          <w:lang w:val="en-US" w:eastAsia="zh-CN"/>
        </w:rPr>
      </w:pPr>
      <w:r>
        <w:rPr>
          <w:rFonts w:hint="eastAsia" w:ascii="Times New Roman" w:hAnsi="Times New Roman" w:eastAsia="仿宋_GB2312" w:cs="Times New Roman"/>
          <w:sz w:val="32"/>
          <w:szCs w:val="32"/>
          <w:lang w:val="en-US" w:eastAsia="zh-CN"/>
        </w:rPr>
        <w:t>（此件主动公开）</w:t>
      </w: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ind w:firstLine="960" w:firstLineChars="300"/>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eastAsia="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eastAsia="仿宋_GB2312"/>
          <w:sz w:val="32"/>
          <w:szCs w:val="32"/>
          <w:lang w:val="en-US" w:eastAsia="zh-CN"/>
        </w:rPr>
      </w:pPr>
    </w:p>
    <w:p>
      <w:pPr>
        <w:keepNext w:val="0"/>
        <w:keepLines w:val="0"/>
        <w:pageBreakBefore w:val="0"/>
        <w:widowControl w:val="0"/>
        <w:tabs>
          <w:tab w:val="left" w:pos="7371"/>
          <w:tab w:val="left" w:pos="7513"/>
        </w:tabs>
        <w:kinsoku/>
        <w:wordWrap/>
        <w:overflowPunct/>
        <w:topLinePunct w:val="0"/>
        <w:autoSpaceDE/>
        <w:autoSpaceDN/>
        <w:bidi w:val="0"/>
        <w:adjustRightInd w:val="0"/>
        <w:snapToGrid/>
        <w:spacing w:line="580" w:lineRule="exact"/>
        <w:ind w:left="315" w:leftChars="150" w:right="315" w:rightChars="150"/>
        <w:textAlignment w:val="auto"/>
        <w:rPr>
          <w:rFonts w:hint="eastAsia" w:ascii="仿宋_GB2312" w:hAnsi="宋体" w:eastAsia="仿宋_GB2312"/>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413385</wp:posOffset>
                </wp:positionV>
                <wp:extent cx="5600700" cy="0"/>
                <wp:effectExtent l="0" t="4445" r="0" b="5080"/>
                <wp:wrapNone/>
                <wp:docPr id="2" name="直线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75pt;margin-top:32.55pt;height:0pt;width:441pt;z-index:251664384;mso-width-relative:page;mso-height-relative:page;" filled="f" stroked="t" coordsize="21600,21600" o:gfxdata="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50800</wp:posOffset>
                </wp:positionV>
                <wp:extent cx="5600700" cy="0"/>
                <wp:effectExtent l="0" t="4445" r="0" b="5080"/>
                <wp:wrapNone/>
                <wp:docPr id="6" name="直线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0pt;margin-top:4pt;height:0pt;width:441pt;z-index:251663360;mso-width-relative:page;mso-height-relative:page;" filled="f" stroked="t" coordsize="21600,21600" o:gfxdata="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泉州台商投资区管委会办公室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宋体"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宋体" w:cs="Times New Roman"/>
          <w:sz w:val="28"/>
          <w:szCs w:val="28"/>
          <w:lang w:val="en-US" w:eastAsia="zh-CN"/>
        </w:rPr>
        <w:t>25</w:t>
      </w:r>
      <w:r>
        <w:rPr>
          <w:rFonts w:hint="default" w:ascii="Times New Roman" w:hAnsi="Times New Roman" w:eastAsia="仿宋_GB2312" w:cs="Times New Roman"/>
          <w:sz w:val="28"/>
          <w:szCs w:val="28"/>
        </w:rPr>
        <w:t>日印发</w:t>
      </w:r>
    </w:p>
    <w:sectPr>
      <w:footerReference r:id="rId3" w:type="default"/>
      <w:pgSz w:w="11906" w:h="16838"/>
      <w:pgMar w:top="192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00"/>
    <w:family w:val="auto"/>
    <w:pitch w:val="default"/>
    <w:sig w:usb0="00000001" w:usb1="080E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205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">
              <v:fill on="f" focussize="0,0"/>
              <v:stroke on="f" weight="1.2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MGJhNTIxMDZhNzQyMGViZjE0YjU4ZjcwZDY2NmQifQ=="/>
    <w:docVar w:name="KSO_WPS_MARK_KEY" w:val="ea5bc041-ec96-473d-a65c-1055b6af868d"/>
  </w:docVars>
  <w:rsids>
    <w:rsidRoot w:val="00172A27"/>
    <w:rsid w:val="001170E7"/>
    <w:rsid w:val="001A5D33"/>
    <w:rsid w:val="002833B5"/>
    <w:rsid w:val="006C4E5F"/>
    <w:rsid w:val="00790734"/>
    <w:rsid w:val="00A637C5"/>
    <w:rsid w:val="00C035A5"/>
    <w:rsid w:val="037A522A"/>
    <w:rsid w:val="046A487B"/>
    <w:rsid w:val="04863FB4"/>
    <w:rsid w:val="058434A0"/>
    <w:rsid w:val="068255C2"/>
    <w:rsid w:val="07667FF2"/>
    <w:rsid w:val="09C17A0E"/>
    <w:rsid w:val="0A431BAA"/>
    <w:rsid w:val="0CC30AFE"/>
    <w:rsid w:val="112148F0"/>
    <w:rsid w:val="11C31D56"/>
    <w:rsid w:val="12DE0BF6"/>
    <w:rsid w:val="16B240C8"/>
    <w:rsid w:val="16B94654"/>
    <w:rsid w:val="17E27326"/>
    <w:rsid w:val="182C2DE0"/>
    <w:rsid w:val="1AE633EE"/>
    <w:rsid w:val="204A0531"/>
    <w:rsid w:val="20EA0B31"/>
    <w:rsid w:val="238F3F4E"/>
    <w:rsid w:val="271756EB"/>
    <w:rsid w:val="28520495"/>
    <w:rsid w:val="29436701"/>
    <w:rsid w:val="2B826CE1"/>
    <w:rsid w:val="36D96699"/>
    <w:rsid w:val="370A417C"/>
    <w:rsid w:val="3B9111C4"/>
    <w:rsid w:val="3C836713"/>
    <w:rsid w:val="3D5E6E54"/>
    <w:rsid w:val="3DE0289B"/>
    <w:rsid w:val="3E0A5610"/>
    <w:rsid w:val="3F72181A"/>
    <w:rsid w:val="41750070"/>
    <w:rsid w:val="41DD1C45"/>
    <w:rsid w:val="42AF7B85"/>
    <w:rsid w:val="43A52119"/>
    <w:rsid w:val="45F41681"/>
    <w:rsid w:val="47742E6E"/>
    <w:rsid w:val="485D4964"/>
    <w:rsid w:val="4A010D2D"/>
    <w:rsid w:val="4E5D57FA"/>
    <w:rsid w:val="4EE70B7C"/>
    <w:rsid w:val="51E205A4"/>
    <w:rsid w:val="57CE4B01"/>
    <w:rsid w:val="58E926CC"/>
    <w:rsid w:val="608B064F"/>
    <w:rsid w:val="60EA6C97"/>
    <w:rsid w:val="62752180"/>
    <w:rsid w:val="62984F16"/>
    <w:rsid w:val="63473DD5"/>
    <w:rsid w:val="64300366"/>
    <w:rsid w:val="65495D1A"/>
    <w:rsid w:val="69223C48"/>
    <w:rsid w:val="69FA38CE"/>
    <w:rsid w:val="6A5A3F3F"/>
    <w:rsid w:val="6B33010D"/>
    <w:rsid w:val="6F0A52BC"/>
    <w:rsid w:val="705A5093"/>
    <w:rsid w:val="70962DD8"/>
    <w:rsid w:val="74012297"/>
    <w:rsid w:val="75334907"/>
    <w:rsid w:val="757D311A"/>
    <w:rsid w:val="76C52522"/>
    <w:rsid w:val="7D575AA9"/>
    <w:rsid w:val="7E3977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Normal Indent"/>
    <w:basedOn w:val="1"/>
    <w:qFormat/>
    <w:uiPriority w:val="0"/>
    <w:pPr>
      <w:ind w:firstLine="420"/>
    </w:pPr>
    <w:rPr>
      <w:rFonts w:ascii="Times New Roman" w:hAnsi="Times New Roman" w:eastAsia="仿宋_GB2312" w:cs="Times New Roman"/>
      <w:sz w:val="32"/>
      <w:szCs w:val="24"/>
    </w:rPr>
  </w:style>
  <w:style w:type="paragraph" w:styleId="4">
    <w:name w:val="Body Text"/>
    <w:basedOn w:val="1"/>
    <w:semiHidden/>
    <w:uiPriority w:val="0"/>
    <w:rPr>
      <w:rFonts w:eastAsia="方正仿宋简体"/>
      <w:sz w:val="32"/>
    </w:rPr>
  </w:style>
  <w:style w:type="paragraph" w:styleId="5">
    <w:name w:val="Date"/>
    <w:basedOn w:val="1"/>
    <w:next w:val="1"/>
    <w:uiPriority w:val="0"/>
    <w:pPr>
      <w:ind w:left="100" w:leftChars="2500"/>
    </w:pPr>
  </w:style>
  <w:style w:type="paragraph" w:styleId="6">
    <w:name w:val="footer"/>
    <w:basedOn w:val="1"/>
    <w:link w:val="10"/>
    <w:uiPriority w:val="0"/>
    <w:pPr>
      <w:tabs>
        <w:tab w:val="center" w:pos="4153"/>
        <w:tab w:val="right" w:pos="8306"/>
      </w:tabs>
      <w:snapToGrid w:val="0"/>
      <w:jc w:val="left"/>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uiPriority w:val="0"/>
    <w:rPr>
      <w:kern w:val="2"/>
      <w:sz w:val="18"/>
      <w:szCs w:val="18"/>
    </w:rPr>
  </w:style>
  <w:style w:type="character" w:customStyle="1" w:styleId="11">
    <w:name w:val="页眉 Char"/>
    <w:basedOn w:val="9"/>
    <w:link w:val="7"/>
    <w:uiPriority w:val="0"/>
    <w:rPr>
      <w:kern w:val="2"/>
      <w:sz w:val="18"/>
      <w:szCs w:val="18"/>
    </w:rPr>
  </w:style>
  <w:style w:type="character" w:customStyle="1" w:styleId="12">
    <w:name w:val="UserStyle_0"/>
    <w:qFormat/>
    <w:uiPriority w:val="0"/>
    <w:rPr>
      <w:kern w:val="2"/>
      <w:sz w:val="21"/>
      <w:szCs w:val="24"/>
      <w:lang w:val="en-US" w:eastAsia="zh-CN" w:bidi="ar-SA"/>
    </w:rPr>
  </w:style>
  <w:style w:type="character" w:customStyle="1" w:styleId="1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www.xunchi.com</Company>
  <Pages>2</Pages>
  <Words>238</Words>
  <Characters>250</Characters>
  <Lines>1</Lines>
  <Paragraphs>1</Paragraphs>
  <TotalTime>1</TotalTime>
  <ScaleCrop>false</ScaleCrop>
  <LinksUpToDate>false</LinksUpToDate>
  <CharactersWithSpaces>298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2010-08-03T15:59:00Z</dcterms:created>
  <dc:creator>Administrator</dc:creator>
  <cp:lastModifiedBy>msk</cp:lastModifiedBy>
  <cp:lastPrinted>2024-07-26T16:25:35Z</cp:lastPrinted>
  <dcterms:modified xsi:type="dcterms:W3CDTF">2024-07-26T16:27:03Z</dcterms:modified>
  <dc:title>泉州台商投资区管委会关于南北主干道工程房屋拆迁补偿安置实施方案的批复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4CB040CC709CB50DD75DA36686DB4D8C</vt:lpwstr>
  </property>
</Properties>
</file>