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95C2F">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Cs w:val="32"/>
        </w:rPr>
      </w:pPr>
    </w:p>
    <w:p w14:paraId="5093EFC9">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Cs w:val="32"/>
        </w:rPr>
      </w:pPr>
    </w:p>
    <w:p w14:paraId="600E8656">
      <w:pPr>
        <w:pStyle w:val="4"/>
        <w:keepNext w:val="0"/>
        <w:keepLines w:val="0"/>
        <w:pageBreakBefore w:val="0"/>
        <w:widowControl w:val="0"/>
        <w:kinsoku/>
        <w:wordWrap/>
        <w:overflowPunct/>
        <w:topLinePunct w:val="0"/>
        <w:autoSpaceDE/>
        <w:autoSpaceDN/>
        <w:bidi w:val="0"/>
        <w:spacing w:line="560" w:lineRule="exact"/>
        <w:textAlignment w:val="auto"/>
        <w:rPr>
          <w:rFonts w:hint="default"/>
        </w:rPr>
      </w:pPr>
    </w:p>
    <w:p w14:paraId="14BAA4EB">
      <w:pPr>
        <w:spacing w:line="600" w:lineRule="exact"/>
        <w:jc w:val="center"/>
        <w:rPr>
          <w:rFonts w:hint="default" w:ascii="方正小标宋简体" w:eastAsia="方正小标宋简体"/>
          <w:spacing w:val="-20"/>
          <w:sz w:val="44"/>
          <w:szCs w:val="44"/>
          <w:lang w:val="en-US" w:eastAsia="zh-CN"/>
        </w:rPr>
      </w:pPr>
      <w:r>
        <w:rPr>
          <w:rFonts w:hint="default" w:ascii="Times New Roman" w:hAnsi="Times New Roman" w:eastAsia="方正小标宋简体" w:cs="Times New Roman"/>
          <w:color w:val="000000"/>
          <w:spacing w:val="-20"/>
          <w:sz w:val="44"/>
          <w:szCs w:val="32"/>
        </w:rPr>
        <w:t>泉州</w:t>
      </w:r>
      <w:r>
        <w:rPr>
          <w:rFonts w:hint="default" w:ascii="Times New Roman" w:hAnsi="Times New Roman" w:eastAsia="方正小标宋简体" w:cs="Times New Roman"/>
          <w:color w:val="000000"/>
          <w:spacing w:val="-20"/>
          <w:sz w:val="44"/>
          <w:szCs w:val="32"/>
          <w:lang w:eastAsia="zh-CN"/>
        </w:rPr>
        <w:t>台商投资区管理委员会综合执法与应急管理局</w:t>
      </w:r>
      <w:r>
        <w:rPr>
          <w:rFonts w:hint="eastAsia" w:ascii="方正小标宋简体" w:eastAsia="方正小标宋简体"/>
          <w:spacing w:val="-20"/>
          <w:sz w:val="44"/>
          <w:szCs w:val="44"/>
        </w:rPr>
        <w:t>2024年度规范性文件清理结果</w:t>
      </w:r>
      <w:r>
        <w:rPr>
          <w:rFonts w:hint="eastAsia" w:ascii="方正小标宋简体" w:eastAsia="方正小标宋简体"/>
          <w:spacing w:val="-20"/>
          <w:sz w:val="44"/>
          <w:szCs w:val="44"/>
          <w:lang w:val="en-US" w:eastAsia="zh-CN"/>
        </w:rPr>
        <w:t>的通告</w:t>
      </w:r>
      <w:bookmarkStart w:id="0" w:name="_GoBack"/>
      <w:bookmarkEnd w:id="0"/>
    </w:p>
    <w:p w14:paraId="7CAD93B8">
      <w:pPr>
        <w:spacing w:line="600" w:lineRule="exact"/>
        <w:jc w:val="center"/>
        <w:rPr>
          <w:rFonts w:ascii="方正小标宋简体" w:eastAsia="方正小标宋简体"/>
          <w:spacing w:val="-20"/>
          <w:sz w:val="44"/>
          <w:szCs w:val="44"/>
        </w:rPr>
      </w:pPr>
      <w:r>
        <w:rPr>
          <w:rFonts w:hint="eastAsia" w:ascii="Times New Roman" w:hAnsi="Times New Roman" w:eastAsia="方正小标宋简体" w:cs="Times New Roman"/>
          <w:color w:val="000000"/>
          <w:spacing w:val="-20"/>
          <w:sz w:val="44"/>
          <w:szCs w:val="32"/>
          <w:lang w:eastAsia="zh-CN"/>
        </w:rPr>
        <w:t>（</w:t>
      </w:r>
      <w:r>
        <w:rPr>
          <w:rFonts w:hint="eastAsia" w:ascii="方正小标宋简体" w:eastAsia="方正小标宋简体"/>
          <w:spacing w:val="-20"/>
          <w:sz w:val="44"/>
          <w:szCs w:val="44"/>
        </w:rPr>
        <w:t>征求意见稿）</w:t>
      </w:r>
    </w:p>
    <w:p w14:paraId="12B597EB">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000000"/>
          <w:szCs w:val="32"/>
        </w:rPr>
      </w:pPr>
    </w:p>
    <w:p w14:paraId="3DD824E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sz w:val="32"/>
          <w:szCs w:val="32"/>
          <w:lang w:val="en-US" w:eastAsia="zh-CN"/>
        </w:rPr>
      </w:pPr>
    </w:p>
    <w:p w14:paraId="27E4737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000000"/>
          <w:szCs w:val="32"/>
        </w:rPr>
      </w:pPr>
      <w:r>
        <w:rPr>
          <w:rFonts w:hint="eastAsia" w:ascii="Times New Roman" w:hAnsi="Times New Roman" w:eastAsia="仿宋_GB2312" w:cs="Times New Roman"/>
          <w:sz w:val="32"/>
          <w:szCs w:val="32"/>
          <w:lang w:val="en-US" w:eastAsia="zh-CN"/>
        </w:rPr>
        <w:t>局属各单位、机关各科室</w:t>
      </w:r>
      <w:r>
        <w:rPr>
          <w:rFonts w:hint="default" w:ascii="Times New Roman" w:hAnsi="Times New Roman" w:eastAsia="仿宋_GB2312" w:cs="Times New Roman"/>
          <w:color w:val="000000"/>
          <w:szCs w:val="32"/>
        </w:rPr>
        <w:t>：</w:t>
      </w:r>
    </w:p>
    <w:p w14:paraId="7E65A36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根据《福建省行政规范性文件备案审查办法》和《泉州市人</w:t>
      </w:r>
    </w:p>
    <w:p w14:paraId="7FCBCD1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民政府关于印发泉州市行政规范性文件管理规定的通知》</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泉政规〔202</w:t>
      </w:r>
      <w:r>
        <w:rPr>
          <w:rFonts w:hint="eastAsia" w:ascii="Times New Roman" w:hAnsi="Times New Roman" w:eastAsia="仿宋_GB2312" w:cs="Times New Roman"/>
          <w:color w:val="000000"/>
          <w:lang w:val="en-US" w:eastAsia="zh-CN"/>
        </w:rPr>
        <w:t>2</w:t>
      </w:r>
      <w:r>
        <w:rPr>
          <w:rFonts w:hint="default" w:ascii="Times New Roman" w:hAnsi="Times New Roman" w:eastAsia="仿宋_GB2312" w:cs="Times New Roman"/>
          <w:color w:val="000000"/>
        </w:rPr>
        <w:t>〕3号</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rPr>
        <w:t>的规定，对2023年12月31日前以我局名义发布的行政规范性文件进行清理，现将清理结果公布如下:</w:t>
      </w:r>
    </w:p>
    <w:p w14:paraId="3F9F63E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rPr>
      </w:pPr>
      <w:r>
        <w:rPr>
          <w:rFonts w:hint="eastAsia" w:ascii="Times New Roman" w:hAnsi="Times New Roman" w:eastAsia="仿宋_GB2312" w:cs="Times New Roman"/>
          <w:color w:val="000000"/>
          <w:lang w:val="en-US" w:eastAsia="zh-CN"/>
        </w:rPr>
        <w:t>宣布失效（废止）</w:t>
      </w:r>
      <w:r>
        <w:rPr>
          <w:rFonts w:hint="default" w:ascii="Times New Roman" w:hAnsi="Times New Roman" w:eastAsia="仿宋_GB2312" w:cs="Times New Roman"/>
          <w:color w:val="000000"/>
        </w:rPr>
        <w:t>的行政规范性文件1件(详见附件)</w:t>
      </w:r>
    </w:p>
    <w:p w14:paraId="418771F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特此通告。</w:t>
      </w:r>
    </w:p>
    <w:p w14:paraId="22A07E12">
      <w:pPr>
        <w:pStyle w:val="4"/>
        <w:rPr>
          <w:rFonts w:hint="default"/>
        </w:rPr>
      </w:pPr>
    </w:p>
    <w:p w14:paraId="1AD085C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lang w:val="en-US" w:eastAsia="zh-CN"/>
        </w:rPr>
      </w:pPr>
      <w:r>
        <w:rPr>
          <w:rFonts w:hint="eastAsia" w:ascii="Times New Roman" w:hAnsi="Times New Roman" w:eastAsia="仿宋_GB2312" w:cs="Times New Roman"/>
          <w:color w:val="000000"/>
          <w:lang w:val="en-US" w:eastAsia="zh-CN"/>
        </w:rPr>
        <w:t>附件：宣布失效（废止）</w:t>
      </w:r>
      <w:r>
        <w:rPr>
          <w:rFonts w:hint="default" w:ascii="Times New Roman" w:hAnsi="Times New Roman" w:eastAsia="仿宋_GB2312" w:cs="Times New Roman"/>
          <w:color w:val="000000"/>
        </w:rPr>
        <w:t>的行政规范性文件</w:t>
      </w:r>
      <w:r>
        <w:rPr>
          <w:rFonts w:hint="eastAsia" w:ascii="Times New Roman" w:hAnsi="Times New Roman" w:eastAsia="仿宋_GB2312" w:cs="Times New Roman"/>
          <w:color w:val="000000"/>
          <w:lang w:val="en-US" w:eastAsia="zh-CN"/>
        </w:rPr>
        <w:t>目录</w:t>
      </w:r>
    </w:p>
    <w:p w14:paraId="5F5D2EE3">
      <w:pPr>
        <w:pStyle w:val="4"/>
        <w:keepNext w:val="0"/>
        <w:keepLines w:val="0"/>
        <w:pageBreakBefore w:val="0"/>
        <w:widowControl w:val="0"/>
        <w:kinsoku/>
        <w:wordWrap/>
        <w:overflowPunct/>
        <w:topLinePunct w:val="0"/>
        <w:autoSpaceDE/>
        <w:autoSpaceDN/>
        <w:bidi w:val="0"/>
        <w:spacing w:line="560" w:lineRule="exact"/>
        <w:textAlignment w:val="auto"/>
        <w:rPr>
          <w:rFonts w:hint="default"/>
          <w:lang w:val="en-US" w:eastAsia="zh-CN"/>
        </w:rPr>
      </w:pPr>
    </w:p>
    <w:p w14:paraId="1B0FE9DA">
      <w:pPr>
        <w:pStyle w:val="4"/>
        <w:keepNext w:val="0"/>
        <w:keepLines w:val="0"/>
        <w:pageBreakBefore w:val="0"/>
        <w:widowControl w:val="0"/>
        <w:kinsoku/>
        <w:wordWrap/>
        <w:overflowPunct/>
        <w:topLinePunct w:val="0"/>
        <w:autoSpaceDE/>
        <w:autoSpaceDN/>
        <w:bidi w:val="0"/>
        <w:spacing w:line="560" w:lineRule="exact"/>
        <w:textAlignment w:val="auto"/>
        <w:rPr>
          <w:rFonts w:hint="default"/>
          <w:lang w:val="en-US" w:eastAsia="zh-CN"/>
        </w:rPr>
      </w:pPr>
    </w:p>
    <w:p w14:paraId="6A125437">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textAlignment w:val="auto"/>
        <w:rPr>
          <w:rFonts w:hint="default"/>
        </w:rPr>
      </w:pPr>
      <w:r>
        <w:rPr>
          <w:rFonts w:hint="default" w:ascii="Times New Roman" w:hAnsi="Times New Roman" w:eastAsia="仿宋_GB2312" w:cs="Times New Roman"/>
          <w:color w:val="000000"/>
        </w:rPr>
        <w:t>泉州台商投资区管理委员会综合执法与应急管理局</w:t>
      </w:r>
    </w:p>
    <w:p w14:paraId="2CCC4AE2">
      <w:pPr>
        <w:keepNext w:val="0"/>
        <w:keepLines w:val="0"/>
        <w:pageBreakBefore w:val="0"/>
        <w:widowControl w:val="0"/>
        <w:kinsoku/>
        <w:wordWrap/>
        <w:overflowPunct/>
        <w:topLinePunct w:val="0"/>
        <w:autoSpaceDE/>
        <w:autoSpaceDN/>
        <w:bidi w:val="0"/>
        <w:adjustRightInd w:val="0"/>
        <w:snapToGrid w:val="0"/>
        <w:spacing w:line="560" w:lineRule="exact"/>
        <w:ind w:firstLine="1280" w:firstLineChars="400"/>
        <w:textAlignment w:val="auto"/>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 xml:space="preserve">                2024年10月  日</w:t>
      </w:r>
    </w:p>
    <w:tbl>
      <w:tblPr>
        <w:tblStyle w:val="8"/>
        <w:tblW w:w="9358" w:type="dxa"/>
        <w:tblInd w:w="89" w:type="dxa"/>
        <w:tblLayout w:type="autofit"/>
        <w:tblCellMar>
          <w:top w:w="0" w:type="dxa"/>
          <w:left w:w="108" w:type="dxa"/>
          <w:bottom w:w="0" w:type="dxa"/>
          <w:right w:w="108" w:type="dxa"/>
        </w:tblCellMar>
      </w:tblPr>
      <w:tblGrid>
        <w:gridCol w:w="688"/>
        <w:gridCol w:w="3253"/>
        <w:gridCol w:w="5417"/>
      </w:tblGrid>
      <w:tr w14:paraId="0FF27E05">
        <w:tblPrEx>
          <w:tblCellMar>
            <w:top w:w="0" w:type="dxa"/>
            <w:left w:w="108" w:type="dxa"/>
            <w:bottom w:w="0" w:type="dxa"/>
            <w:right w:w="108" w:type="dxa"/>
          </w:tblCellMar>
        </w:tblPrEx>
        <w:trPr>
          <w:trHeight w:val="499" w:hRule="atLeast"/>
        </w:trPr>
        <w:tc>
          <w:tcPr>
            <w:tcW w:w="688" w:type="dxa"/>
            <w:tcBorders>
              <w:top w:val="nil"/>
              <w:left w:val="nil"/>
              <w:bottom w:val="nil"/>
              <w:right w:val="nil"/>
            </w:tcBorders>
            <w:noWrap/>
            <w:vAlign w:val="center"/>
          </w:tcPr>
          <w:p w14:paraId="6B52B8FA">
            <w:pPr>
              <w:widowControl/>
              <w:ind w:right="-810" w:rightChars="-253"/>
              <w:jc w:val="left"/>
              <w:rPr>
                <w:rFonts w:hint="eastAsia" w:ascii="黑体" w:hAnsi="黑体" w:eastAsia="黑体" w:cs="宋体"/>
                <w:kern w:val="0"/>
                <w:sz w:val="32"/>
                <w:szCs w:val="32"/>
              </w:rPr>
            </w:pPr>
          </w:p>
          <w:p w14:paraId="27242AEE">
            <w:pPr>
              <w:widowControl/>
              <w:ind w:right="-810" w:rightChars="-253"/>
              <w:jc w:val="left"/>
              <w:rPr>
                <w:rFonts w:hint="eastAsia" w:ascii="黑体" w:hAnsi="黑体" w:eastAsia="黑体" w:cs="宋体"/>
                <w:kern w:val="0"/>
                <w:sz w:val="32"/>
                <w:szCs w:val="32"/>
              </w:rPr>
            </w:pPr>
          </w:p>
          <w:p w14:paraId="58C40AEB">
            <w:pPr>
              <w:widowControl/>
              <w:ind w:right="-810" w:rightChars="-253"/>
              <w:jc w:val="left"/>
              <w:rPr>
                <w:rFonts w:hint="eastAsia" w:ascii="黑体" w:hAnsi="黑体" w:eastAsia="黑体" w:cs="宋体"/>
                <w:kern w:val="0"/>
                <w:sz w:val="32"/>
                <w:szCs w:val="32"/>
              </w:rPr>
            </w:pPr>
          </w:p>
          <w:p w14:paraId="45843DB5">
            <w:pPr>
              <w:widowControl/>
              <w:ind w:right="-810" w:rightChars="-253"/>
              <w:jc w:val="left"/>
              <w:rPr>
                <w:rFonts w:ascii="黑体" w:hAnsi="黑体" w:eastAsia="黑体" w:cs="宋体"/>
                <w:kern w:val="0"/>
                <w:sz w:val="32"/>
                <w:szCs w:val="32"/>
              </w:rPr>
            </w:pPr>
            <w:r>
              <w:rPr>
                <w:rFonts w:hint="eastAsia" w:ascii="黑体" w:hAnsi="黑体" w:eastAsia="黑体" w:cs="宋体"/>
                <w:kern w:val="0"/>
                <w:sz w:val="32"/>
                <w:szCs w:val="32"/>
              </w:rPr>
              <w:t>附件</w:t>
            </w:r>
          </w:p>
        </w:tc>
        <w:tc>
          <w:tcPr>
            <w:tcW w:w="3253" w:type="dxa"/>
            <w:tcBorders>
              <w:top w:val="nil"/>
              <w:left w:val="nil"/>
              <w:bottom w:val="nil"/>
              <w:right w:val="nil"/>
            </w:tcBorders>
            <w:noWrap/>
            <w:vAlign w:val="center"/>
          </w:tcPr>
          <w:p w14:paraId="0AA8939C">
            <w:pPr>
              <w:widowControl/>
              <w:ind w:right="-810" w:rightChars="-253"/>
              <w:jc w:val="left"/>
              <w:rPr>
                <w:rFonts w:ascii="黑体" w:hAnsi="黑体" w:eastAsia="黑体" w:cs="宋体"/>
                <w:kern w:val="0"/>
                <w:sz w:val="32"/>
                <w:szCs w:val="32"/>
              </w:rPr>
            </w:pPr>
          </w:p>
        </w:tc>
        <w:tc>
          <w:tcPr>
            <w:tcW w:w="5417" w:type="dxa"/>
            <w:tcBorders>
              <w:top w:val="nil"/>
              <w:left w:val="nil"/>
              <w:bottom w:val="nil"/>
              <w:right w:val="nil"/>
            </w:tcBorders>
            <w:noWrap/>
            <w:vAlign w:val="center"/>
          </w:tcPr>
          <w:p w14:paraId="26C078B1">
            <w:pPr>
              <w:widowControl/>
              <w:jc w:val="left"/>
              <w:rPr>
                <w:rFonts w:ascii="宋体" w:cs="宋体"/>
                <w:kern w:val="0"/>
                <w:sz w:val="24"/>
              </w:rPr>
            </w:pPr>
          </w:p>
        </w:tc>
      </w:tr>
      <w:tr w14:paraId="20231CB7">
        <w:tblPrEx>
          <w:tblCellMar>
            <w:top w:w="0" w:type="dxa"/>
            <w:left w:w="108" w:type="dxa"/>
            <w:bottom w:w="0" w:type="dxa"/>
            <w:right w:w="108" w:type="dxa"/>
          </w:tblCellMar>
        </w:tblPrEx>
        <w:trPr>
          <w:trHeight w:val="2358" w:hRule="atLeast"/>
        </w:trPr>
        <w:tc>
          <w:tcPr>
            <w:tcW w:w="9358" w:type="dxa"/>
            <w:gridSpan w:val="3"/>
            <w:tcBorders>
              <w:top w:val="nil"/>
              <w:left w:val="nil"/>
              <w:bottom w:val="single" w:color="auto" w:sz="4" w:space="0"/>
              <w:right w:val="nil"/>
            </w:tcBorders>
            <w:noWrap/>
            <w:vAlign w:val="center"/>
          </w:tcPr>
          <w:p w14:paraId="44805D7B">
            <w:pPr>
              <w:widowControl/>
              <w:jc w:val="both"/>
              <w:rPr>
                <w:rFonts w:ascii="方正小标宋简体" w:hAnsi="宋体" w:eastAsia="方正小标宋简体" w:cs="宋体"/>
                <w:kern w:val="0"/>
                <w:sz w:val="32"/>
                <w:szCs w:val="32"/>
              </w:rPr>
            </w:pPr>
          </w:p>
          <w:p w14:paraId="4E4DAAC4">
            <w:pPr>
              <w:widowControl/>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宣布失效（废止）的行政规范性文件目录</w:t>
            </w:r>
          </w:p>
          <w:p w14:paraId="15406139">
            <w:pPr>
              <w:widowControl/>
              <w:jc w:val="center"/>
              <w:rPr>
                <w:rFonts w:ascii="方正小标宋简体" w:hAnsi="宋体" w:eastAsia="方正小标宋简体" w:cs="宋体"/>
                <w:kern w:val="0"/>
                <w:sz w:val="32"/>
                <w:szCs w:val="32"/>
              </w:rPr>
            </w:pPr>
          </w:p>
        </w:tc>
      </w:tr>
      <w:tr w14:paraId="243BCE13">
        <w:tblPrEx>
          <w:tblCellMar>
            <w:top w:w="0" w:type="dxa"/>
            <w:left w:w="108" w:type="dxa"/>
            <w:bottom w:w="0" w:type="dxa"/>
            <w:right w:w="108" w:type="dxa"/>
          </w:tblCellMar>
        </w:tblPrEx>
        <w:trPr>
          <w:trHeight w:val="562" w:hRule="atLeast"/>
        </w:trPr>
        <w:tc>
          <w:tcPr>
            <w:tcW w:w="688" w:type="dxa"/>
            <w:tcBorders>
              <w:top w:val="nil"/>
              <w:left w:val="single" w:color="auto" w:sz="4" w:space="0"/>
              <w:bottom w:val="single" w:color="auto" w:sz="4" w:space="0"/>
              <w:right w:val="single" w:color="auto" w:sz="4" w:space="0"/>
            </w:tcBorders>
            <w:noWrap/>
            <w:vAlign w:val="center"/>
          </w:tcPr>
          <w:p w14:paraId="0AE1ACC7">
            <w:pPr>
              <w:widowControl/>
              <w:jc w:val="center"/>
              <w:rPr>
                <w:rFonts w:ascii="宋体" w:cs="宋体"/>
                <w:b/>
                <w:bCs/>
                <w:kern w:val="0"/>
                <w:sz w:val="28"/>
                <w:szCs w:val="28"/>
              </w:rPr>
            </w:pPr>
            <w:r>
              <w:rPr>
                <w:rFonts w:hint="eastAsia" w:ascii="宋体" w:hAnsi="宋体" w:cs="宋体"/>
                <w:b/>
                <w:bCs/>
                <w:kern w:val="0"/>
                <w:sz w:val="28"/>
                <w:szCs w:val="28"/>
              </w:rPr>
              <w:t>序号</w:t>
            </w:r>
          </w:p>
        </w:tc>
        <w:tc>
          <w:tcPr>
            <w:tcW w:w="3253" w:type="dxa"/>
            <w:tcBorders>
              <w:top w:val="nil"/>
              <w:left w:val="nil"/>
              <w:bottom w:val="single" w:color="auto" w:sz="4" w:space="0"/>
              <w:right w:val="single" w:color="auto" w:sz="4" w:space="0"/>
            </w:tcBorders>
            <w:noWrap/>
            <w:vAlign w:val="center"/>
          </w:tcPr>
          <w:p w14:paraId="1779DF56">
            <w:pPr>
              <w:widowControl/>
              <w:jc w:val="center"/>
              <w:rPr>
                <w:rFonts w:ascii="宋体" w:cs="宋体"/>
                <w:b/>
                <w:bCs/>
                <w:kern w:val="0"/>
                <w:sz w:val="28"/>
                <w:szCs w:val="28"/>
              </w:rPr>
            </w:pPr>
            <w:r>
              <w:rPr>
                <w:rFonts w:hint="eastAsia" w:ascii="宋体" w:hAnsi="宋体" w:cs="宋体"/>
                <w:b/>
                <w:bCs/>
                <w:kern w:val="0"/>
                <w:sz w:val="28"/>
                <w:szCs w:val="28"/>
              </w:rPr>
              <w:t>文号</w:t>
            </w:r>
          </w:p>
        </w:tc>
        <w:tc>
          <w:tcPr>
            <w:tcW w:w="5417" w:type="dxa"/>
            <w:tcBorders>
              <w:top w:val="nil"/>
              <w:left w:val="nil"/>
              <w:bottom w:val="single" w:color="auto" w:sz="4" w:space="0"/>
              <w:right w:val="single" w:color="auto" w:sz="4" w:space="0"/>
            </w:tcBorders>
            <w:noWrap/>
            <w:vAlign w:val="center"/>
          </w:tcPr>
          <w:p w14:paraId="040FA085">
            <w:pPr>
              <w:widowControl/>
              <w:jc w:val="center"/>
              <w:rPr>
                <w:rFonts w:ascii="宋体" w:cs="宋体"/>
                <w:b/>
                <w:bCs/>
                <w:kern w:val="0"/>
                <w:sz w:val="28"/>
                <w:szCs w:val="28"/>
              </w:rPr>
            </w:pPr>
            <w:r>
              <w:rPr>
                <w:rFonts w:hint="eastAsia" w:ascii="宋体" w:hAnsi="宋体" w:cs="宋体"/>
                <w:b/>
                <w:bCs/>
                <w:kern w:val="0"/>
                <w:sz w:val="28"/>
                <w:szCs w:val="28"/>
              </w:rPr>
              <w:t>文件名称</w:t>
            </w:r>
          </w:p>
        </w:tc>
      </w:tr>
      <w:tr w14:paraId="42DF23EC">
        <w:tblPrEx>
          <w:tblCellMar>
            <w:top w:w="0" w:type="dxa"/>
            <w:left w:w="108" w:type="dxa"/>
            <w:bottom w:w="0" w:type="dxa"/>
            <w:right w:w="108" w:type="dxa"/>
          </w:tblCellMar>
        </w:tblPrEx>
        <w:trPr>
          <w:trHeight w:val="804" w:hRule="atLeast"/>
        </w:trPr>
        <w:tc>
          <w:tcPr>
            <w:tcW w:w="688" w:type="dxa"/>
            <w:tcBorders>
              <w:top w:val="nil"/>
              <w:left w:val="single" w:color="auto" w:sz="4" w:space="0"/>
              <w:bottom w:val="single" w:color="auto" w:sz="4" w:space="0"/>
              <w:right w:val="single" w:color="auto" w:sz="4" w:space="0"/>
            </w:tcBorders>
            <w:noWrap w:val="0"/>
            <w:vAlign w:val="center"/>
          </w:tcPr>
          <w:p w14:paraId="2DACD2BB">
            <w:pPr>
              <w:widowControl/>
              <w:jc w:val="center"/>
              <w:rPr>
                <w:rFonts w:ascii="宋体" w:cs="宋体"/>
                <w:kern w:val="0"/>
                <w:sz w:val="24"/>
              </w:rPr>
            </w:pPr>
            <w:r>
              <w:rPr>
                <w:rFonts w:ascii="宋体" w:hAnsi="宋体" w:cs="宋体"/>
                <w:kern w:val="0"/>
                <w:sz w:val="24"/>
              </w:rPr>
              <w:t>1</w:t>
            </w:r>
          </w:p>
        </w:tc>
        <w:tc>
          <w:tcPr>
            <w:tcW w:w="3253" w:type="dxa"/>
            <w:tcBorders>
              <w:top w:val="nil"/>
              <w:left w:val="nil"/>
              <w:bottom w:val="single" w:color="auto" w:sz="4" w:space="0"/>
              <w:right w:val="single" w:color="auto" w:sz="4" w:space="0"/>
            </w:tcBorders>
            <w:noWrap w:val="0"/>
            <w:vAlign w:val="center"/>
          </w:tcPr>
          <w:p w14:paraId="35E219F6">
            <w:pPr>
              <w:pStyle w:val="7"/>
              <w:keepNext w:val="0"/>
              <w:keepLines w:val="0"/>
              <w:widowControl/>
              <w:suppressLineNumbers w:val="0"/>
              <w:spacing w:before="0" w:beforeAutospacing="1" w:after="0" w:afterAutospacing="1"/>
              <w:ind w:left="0" w:right="0"/>
              <w:rPr>
                <w:rFonts w:ascii="仿宋_GB2312" w:hAnsi="宋体" w:eastAsia="仿宋_GB2312" w:cs="宋体"/>
                <w:kern w:val="0"/>
                <w:sz w:val="24"/>
              </w:rPr>
            </w:pPr>
            <w:r>
              <w:t>　</w:t>
            </w:r>
            <w:r>
              <w:rPr>
                <w:rFonts w:hint="eastAsia" w:ascii="仿宋_GB2312" w:hAnsi="宋体" w:eastAsia="仿宋_GB2312" w:cs="宋体"/>
                <w:kern w:val="0"/>
                <w:sz w:val="24"/>
                <w:szCs w:val="22"/>
                <w:lang w:val="en-US" w:eastAsia="zh-CN" w:bidi="ar-SA"/>
              </w:rPr>
              <w:t>泉台管综应〔2023〕34号</w:t>
            </w:r>
          </w:p>
        </w:tc>
        <w:tc>
          <w:tcPr>
            <w:tcW w:w="5417" w:type="dxa"/>
            <w:tcBorders>
              <w:top w:val="nil"/>
              <w:left w:val="nil"/>
              <w:bottom w:val="single" w:color="auto" w:sz="4" w:space="0"/>
              <w:right w:val="single" w:color="auto" w:sz="4" w:space="0"/>
            </w:tcBorders>
            <w:noWrap w:val="0"/>
            <w:vAlign w:val="center"/>
          </w:tcPr>
          <w:p w14:paraId="1307E133">
            <w:pPr>
              <w:widowControl/>
              <w:jc w:val="left"/>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泉州台商投资区管理委员会综合执法与应急管理局关于印发包容审慎监管执法“四张清单”的通知</w:t>
            </w:r>
          </w:p>
        </w:tc>
      </w:tr>
    </w:tbl>
    <w:p w14:paraId="2DA43BC6">
      <w:pPr>
        <w:keepNext w:val="0"/>
        <w:keepLines w:val="0"/>
        <w:pageBreakBefore w:val="0"/>
        <w:widowControl w:val="0"/>
        <w:kinsoku/>
        <w:wordWrap/>
        <w:overflowPunct/>
        <w:topLinePunct w:val="0"/>
        <w:autoSpaceDE/>
        <w:autoSpaceDN/>
        <w:bidi w:val="0"/>
        <w:adjustRightInd w:val="0"/>
        <w:snapToGrid w:val="0"/>
        <w:spacing w:line="560" w:lineRule="exact"/>
        <w:ind w:firstLine="1280" w:firstLineChars="400"/>
        <w:textAlignment w:val="auto"/>
        <w:rPr>
          <w:rFonts w:hint="default" w:ascii="Times New Roman" w:hAnsi="Times New Roman" w:eastAsia="仿宋_GB2312" w:cs="Times New Roman"/>
          <w:color w:val="000000"/>
          <w:lang w:eastAsia="zh-CN"/>
        </w:rPr>
      </w:pPr>
    </w:p>
    <w:p w14:paraId="1FD3F76E">
      <w:pPr>
        <w:keepNext w:val="0"/>
        <w:keepLines w:val="0"/>
        <w:pageBreakBefore w:val="0"/>
        <w:widowControl w:val="0"/>
        <w:kinsoku/>
        <w:wordWrap/>
        <w:overflowPunct/>
        <w:topLinePunct w:val="0"/>
        <w:autoSpaceDE/>
        <w:autoSpaceDN/>
        <w:bidi w:val="0"/>
        <w:spacing w:line="560" w:lineRule="exact"/>
        <w:textAlignment w:val="auto"/>
      </w:pPr>
    </w:p>
    <w:p w14:paraId="0CEF2A67">
      <w:pPr>
        <w:pStyle w:val="4"/>
      </w:pPr>
    </w:p>
    <w:p w14:paraId="6E164900">
      <w:pPr>
        <w:pStyle w:val="4"/>
      </w:pPr>
    </w:p>
    <w:p w14:paraId="35873203">
      <w:pPr>
        <w:pStyle w:val="4"/>
      </w:pPr>
    </w:p>
    <w:p w14:paraId="7E3812DC">
      <w:pPr>
        <w:pStyle w:val="4"/>
      </w:pPr>
    </w:p>
    <w:p w14:paraId="34148C8F">
      <w:pPr>
        <w:pStyle w:val="4"/>
      </w:pPr>
    </w:p>
    <w:p w14:paraId="52D72BBE">
      <w:pPr>
        <w:pStyle w:val="4"/>
      </w:pPr>
    </w:p>
    <w:p w14:paraId="0F3CB41E">
      <w:pPr>
        <w:pStyle w:val="4"/>
      </w:pPr>
    </w:p>
    <w:p w14:paraId="08056967">
      <w:pPr>
        <w:pStyle w:val="4"/>
      </w:pPr>
    </w:p>
    <w:p w14:paraId="04E88AE2">
      <w:pPr>
        <w:pStyle w:val="4"/>
      </w:pPr>
    </w:p>
    <w:p w14:paraId="321BB956">
      <w:pPr>
        <w:pStyle w:val="4"/>
      </w:pPr>
    </w:p>
    <w:p w14:paraId="65C90AB4">
      <w:pPr>
        <w:pStyle w:val="4"/>
      </w:pPr>
    </w:p>
    <w:p w14:paraId="6BA3A75B">
      <w:pPr>
        <w:pStyle w:val="4"/>
      </w:pPr>
    </w:p>
    <w:p w14:paraId="2FBDC5BD">
      <w:pPr>
        <w:pStyle w:val="4"/>
      </w:pPr>
    </w:p>
    <w:p w14:paraId="287D614F">
      <w:pPr>
        <w:pStyle w:val="4"/>
      </w:pPr>
    </w:p>
    <w:p w14:paraId="055B7639">
      <w:pPr>
        <w:pStyle w:val="4"/>
      </w:pPr>
    </w:p>
    <w:tbl>
      <w:tblPr>
        <w:tblStyle w:val="9"/>
        <w:tblpPr w:leftFromText="180" w:rightFromText="180" w:vertAnchor="text" w:horzAnchor="page" w:tblpX="1384" w:tblpY="502"/>
        <w:tblOverlap w:val="never"/>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0"/>
      </w:tblGrid>
      <w:tr w14:paraId="4C44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440" w:type="dxa"/>
            <w:tcBorders>
              <w:left w:val="nil"/>
              <w:right w:val="nil"/>
            </w:tcBorders>
            <w:vAlign w:val="center"/>
          </w:tcPr>
          <w:p w14:paraId="4B6C6443">
            <w:pPr>
              <w:pStyle w:val="4"/>
              <w:jc w:val="center"/>
              <w:rPr>
                <w:vertAlign w:val="baseline"/>
              </w:rPr>
            </w:pPr>
            <w:r>
              <w:rPr>
                <w:rFonts w:hint="eastAsia" w:ascii="Times New Roman" w:hAnsi="Times New Roman" w:eastAsia="仿宋_GB2312" w:cs="Times New Roman"/>
                <w:color w:val="000000"/>
                <w:sz w:val="28"/>
                <w:szCs w:val="21"/>
              </w:rPr>
              <w:t>泉州台商投资区管理委员会综合执法与应急管理局  20</w:t>
            </w:r>
            <w:r>
              <w:rPr>
                <w:rFonts w:hint="eastAsia" w:ascii="Times New Roman" w:hAnsi="Times New Roman" w:eastAsia="仿宋_GB2312" w:cs="Times New Roman"/>
                <w:color w:val="000000"/>
                <w:sz w:val="28"/>
                <w:szCs w:val="21"/>
                <w:lang w:val="en-US" w:eastAsia="zh-CN"/>
              </w:rPr>
              <w:t>24</w:t>
            </w:r>
            <w:r>
              <w:rPr>
                <w:rFonts w:hint="eastAsia" w:ascii="Times New Roman" w:hAnsi="Times New Roman" w:eastAsia="仿宋_GB2312" w:cs="Times New Roman"/>
                <w:color w:val="000000"/>
                <w:sz w:val="28"/>
                <w:szCs w:val="21"/>
              </w:rPr>
              <w:t>年</w:t>
            </w:r>
            <w:r>
              <w:rPr>
                <w:rFonts w:hint="eastAsia" w:ascii="Times New Roman" w:hAnsi="Times New Roman" w:eastAsia="仿宋_GB2312" w:cs="Times New Roman"/>
                <w:color w:val="000000"/>
                <w:sz w:val="28"/>
                <w:szCs w:val="21"/>
                <w:lang w:val="en-US" w:eastAsia="zh-CN"/>
              </w:rPr>
              <w:t>10</w:t>
            </w:r>
            <w:r>
              <w:rPr>
                <w:rFonts w:hint="eastAsia" w:ascii="Times New Roman" w:hAnsi="Times New Roman" w:eastAsia="仿宋_GB2312" w:cs="Times New Roman"/>
                <w:color w:val="000000"/>
                <w:sz w:val="28"/>
                <w:szCs w:val="21"/>
              </w:rPr>
              <w:t>月</w:t>
            </w:r>
            <w:r>
              <w:rPr>
                <w:rFonts w:hint="eastAsia" w:ascii="Times New Roman" w:hAnsi="Times New Roman" w:eastAsia="仿宋_GB2312" w:cs="Times New Roman"/>
                <w:color w:val="000000"/>
                <w:sz w:val="28"/>
                <w:szCs w:val="21"/>
                <w:lang w:val="en-US" w:eastAsia="zh-CN"/>
              </w:rPr>
              <w:t xml:space="preserve">  </w:t>
            </w:r>
            <w:r>
              <w:rPr>
                <w:rFonts w:hint="eastAsia" w:ascii="Times New Roman" w:hAnsi="Times New Roman" w:eastAsia="仿宋_GB2312" w:cs="Times New Roman"/>
                <w:color w:val="000000"/>
                <w:sz w:val="28"/>
                <w:szCs w:val="21"/>
              </w:rPr>
              <w:t>日印发</w:t>
            </w:r>
          </w:p>
        </w:tc>
      </w:tr>
    </w:tbl>
    <w:p w14:paraId="334123AC">
      <w:pPr>
        <w:pStyle w:val="4"/>
      </w:pPr>
    </w:p>
    <w:sectPr>
      <w:footerReference r:id="rId3" w:type="default"/>
      <w:pgSz w:w="11907" w:h="16840"/>
      <w:pgMar w:top="1440" w:right="1474" w:bottom="1440" w:left="1474" w:header="851" w:footer="1701" w:gutter="0"/>
      <w:pgNumType w:fmt="decimal"/>
      <w:cols w:space="720" w:num="1"/>
      <w:formProt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3DE0F">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5307965</wp:posOffset>
              </wp:positionH>
              <wp:positionV relativeFrom="paragraph">
                <wp:posOffset>95250</wp:posOffset>
              </wp:positionV>
              <wp:extent cx="1828800" cy="2673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267335"/>
                      </a:xfrm>
                      <a:prstGeom prst="rect">
                        <a:avLst/>
                      </a:prstGeom>
                      <a:noFill/>
                      <a:ln>
                        <a:noFill/>
                      </a:ln>
                    </wps:spPr>
                    <wps:txbx>
                      <w:txbxContent>
                        <w:p w14:paraId="6468F99F">
                          <w:pPr>
                            <w:pStyle w:val="5"/>
                            <w:rPr>
                              <w:rFonts w:hint="eastAsia" w:eastAsia="仿宋"/>
                              <w:lang w:eastAsia="zh-CN"/>
                            </w:rPr>
                          </w:pPr>
                          <w:r>
                            <w:rPr>
                              <w:rFonts w:hint="eastAsia"/>
                              <w:lang w:eastAsia="zh-CN"/>
                            </w:rPr>
                            <w:t xml:space="preserve">— </w:t>
                          </w: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7</w:t>
                          </w:r>
                          <w:r>
                            <w:rPr>
                              <w:rFonts w:hint="eastAsia" w:ascii="宋体" w:hAnsi="宋体" w:eastAsia="宋体" w:cs="宋体"/>
                              <w:sz w:val="21"/>
                              <w:szCs w:val="21"/>
                              <w:lang w:eastAsia="zh-CN"/>
                            </w:rPr>
                            <w:fldChar w:fldCharType="end"/>
                          </w:r>
                          <w:r>
                            <w:rPr>
                              <w:rFonts w:hint="eastAsia"/>
                              <w:sz w:val="21"/>
                              <w:szCs w:val="21"/>
                              <w:lang w:eastAsia="zh-CN"/>
                            </w:rPr>
                            <w:t xml:space="preserve"> </w:t>
                          </w:r>
                          <w:r>
                            <w:rPr>
                              <w:rFonts w:hint="eastAsia"/>
                              <w:lang w:eastAsia="zh-CN"/>
                            </w:rPr>
                            <w:t>—</w:t>
                          </w:r>
                        </w:p>
                      </w:txbxContent>
                    </wps:txbx>
                    <wps:bodyPr wrap="none" lIns="0" tIns="0" rIns="0" bIns="0" upright="0">
                      <a:noAutofit/>
                    </wps:bodyPr>
                  </wps:wsp>
                </a:graphicData>
              </a:graphic>
            </wp:anchor>
          </w:drawing>
        </mc:Choice>
        <mc:Fallback>
          <w:pict>
            <v:shape id="_x0000_s1026" o:spid="_x0000_s1026" o:spt="202" type="#_x0000_t202" style="position:absolute;left:0pt;margin-left:417.95pt;margin-top:7.5pt;height:21.05pt;width:144pt;mso-position-horizontal-relative:margin;mso-wrap-style:none;z-index:251659264;mso-width-relative:page;mso-height-relative:page;" filled="f" stroked="f" coordsize="21600,21600" o:gfxdata="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5NSH1gAAAAoBAAAPAAAAAAAAAAEAIAAAACIAAABkcnMv&#10;ZG93bnJldi54bWxQSwECFAAUAAAACACHTuJADS/0jcwBAACYAwAADgAAAAAAAAABACAAAAAlAQAA&#10;ZHJzL2Uyb0RvYy54bWxQSwUGAAAAAAYABgBZAQAAYwUAAAAA&#10;">
              <v:fill on="f" focussize="0,0"/>
              <v:stroke on="f"/>
              <v:imagedata o:title=""/>
              <o:lock v:ext="edit" aspectratio="f"/>
              <v:textbox inset="0mm,0mm,0mm,0mm">
                <w:txbxContent>
                  <w:p w14:paraId="6468F99F">
                    <w:pPr>
                      <w:pStyle w:val="5"/>
                      <w:rPr>
                        <w:rFonts w:hint="eastAsia" w:eastAsia="仿宋"/>
                        <w:lang w:eastAsia="zh-CN"/>
                      </w:rPr>
                    </w:pPr>
                    <w:r>
                      <w:rPr>
                        <w:rFonts w:hint="eastAsia"/>
                        <w:lang w:eastAsia="zh-CN"/>
                      </w:rPr>
                      <w:t xml:space="preserve">— </w:t>
                    </w: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7</w:t>
                    </w:r>
                    <w:r>
                      <w:rPr>
                        <w:rFonts w:hint="eastAsia" w:ascii="宋体" w:hAnsi="宋体" w:eastAsia="宋体" w:cs="宋体"/>
                        <w:sz w:val="21"/>
                        <w:szCs w:val="21"/>
                        <w:lang w:eastAsia="zh-CN"/>
                      </w:rPr>
                      <w:fldChar w:fldCharType="end"/>
                    </w:r>
                    <w:r>
                      <w:rPr>
                        <w:rFonts w:hint="eastAsia"/>
                        <w:sz w:val="21"/>
                        <w:szCs w:val="21"/>
                        <w:lang w:eastAsia="zh-CN"/>
                      </w:rPr>
                      <w:t xml:space="preserve"> </w:t>
                    </w:r>
                    <w:r>
                      <w:rPr>
                        <w:rFonts w:hint="eastAsia"/>
                        <w:lang w:eastAsia="zh-CN"/>
                      </w:rPr>
                      <w:t>—</w:t>
                    </w:r>
                  </w:p>
                </w:txbxContent>
              </v:textbox>
            </v:shape>
          </w:pict>
        </mc:Fallback>
      </mc:AlternateContent>
    </w:r>
  </w:p>
  <w:p w14:paraId="1A287DCC">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jA0YmExMDBmNzA5ZDAxN2IxMmEzMGJhNTUzMWUifQ=="/>
  </w:docVars>
  <w:rsids>
    <w:rsidRoot w:val="4B0841A9"/>
    <w:rsid w:val="080B22C5"/>
    <w:rsid w:val="0B7019D2"/>
    <w:rsid w:val="24EC6623"/>
    <w:rsid w:val="29FC7C51"/>
    <w:rsid w:val="3B9E2E03"/>
    <w:rsid w:val="46A41CEC"/>
    <w:rsid w:val="4B0841A9"/>
    <w:rsid w:val="4BE93522"/>
    <w:rsid w:val="6CE75C22"/>
    <w:rsid w:val="711826AC"/>
    <w:rsid w:val="734A5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仿宋" w:cs="Arial"/>
      <w:kern w:val="2"/>
      <w:sz w:val="32"/>
      <w:szCs w:val="22"/>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widowControl w:val="0"/>
      <w:autoSpaceDE w:val="0"/>
      <w:autoSpaceDN w:val="0"/>
    </w:pPr>
    <w:rPr>
      <w:rFonts w:ascii="宋体" w:hAnsi="Times New Roman" w:eastAsia="宋体" w:cs="宋体"/>
      <w:sz w:val="32"/>
      <w:szCs w:val="32"/>
      <w:lang w:val="zh-CN" w:eastAsia="zh-CN" w:bidi="zh-CN"/>
    </w:rPr>
  </w:style>
  <w:style w:type="paragraph" w:styleId="4">
    <w:name w:val="Balloon Text"/>
    <w:basedOn w:val="1"/>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character" w:customStyle="1" w:styleId="12">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341</Words>
  <Characters>364</Characters>
  <Lines>0</Lines>
  <Paragraphs>0</Paragraphs>
  <TotalTime>3</TotalTime>
  <ScaleCrop>false</ScaleCrop>
  <LinksUpToDate>false</LinksUpToDate>
  <CharactersWithSpaces>387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2023-05-05T02:56:00Z</dcterms:created>
  <dc:creator>Administrator</dc:creator>
  <cp:lastModifiedBy>```</cp:lastModifiedBy>
  <cp:lastPrinted>2024-10-18T03:40:00Z</cp:lastPrinted>
  <dcterms:modified xsi:type="dcterms:W3CDTF">2024-11-13T09:10:24Z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C28D2B32A8DB49EE9183992574EF35D0_13</vt:lpwstr>
  </property>
</Properties>
</file>