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436" w:firstLineChars="700"/>
        <w:jc w:val="both"/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惠安县东园镇人民政府</w:t>
      </w:r>
    </w:p>
    <w:p>
      <w:pPr>
        <w:spacing w:line="480" w:lineRule="exact"/>
        <w:ind w:firstLine="0" w:firstLineChars="0"/>
        <w:jc w:val="center"/>
        <w:rPr>
          <w:rFonts w:hint="eastAsia" w:ascii="仿宋" w:hAnsi="仿宋" w:eastAsia="仿宋" w:cs="仿宋_GB2312"/>
          <w:color w:val="000000"/>
          <w:sz w:val="24"/>
          <w:szCs w:val="24"/>
          <w:u w:val="single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jc w:val="center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eastAsia="仿宋" w:cs="仿宋"/>
          <w:sz w:val="28"/>
          <w:szCs w:val="28"/>
          <w:lang w:eastAsia="zh-CN"/>
        </w:rPr>
        <w:t>闽泉台东园〔202</w:t>
      </w:r>
      <w:r>
        <w:rPr>
          <w:rFonts w:hint="eastAsia" w:eastAsia="仿宋" w:cs="仿宋"/>
          <w:sz w:val="28"/>
          <w:szCs w:val="28"/>
          <w:lang w:val="en-US" w:eastAsia="zh-CN"/>
        </w:rPr>
        <w:t>4</w:t>
      </w:r>
      <w:r>
        <w:rPr>
          <w:rFonts w:hint="eastAsia" w:eastAsia="仿宋" w:cs="仿宋"/>
          <w:sz w:val="28"/>
          <w:szCs w:val="28"/>
          <w:lang w:eastAsia="zh-CN"/>
        </w:rPr>
        <w:t>〕罚字第</w:t>
      </w:r>
      <w:r>
        <w:rPr>
          <w:rFonts w:hint="eastAsia" w:eastAsia="仿宋" w:cs="仿宋"/>
          <w:sz w:val="28"/>
          <w:szCs w:val="28"/>
          <w:lang w:val="en-US" w:eastAsia="zh-CN"/>
        </w:rPr>
        <w:t>002</w:t>
      </w:r>
      <w:r>
        <w:rPr>
          <w:rFonts w:hint="eastAsia" w:eastAsia="仿宋" w:cs="仿宋"/>
          <w:sz w:val="28"/>
          <w:szCs w:val="28"/>
        </w:rPr>
        <w:t>号</w:t>
      </w:r>
    </w:p>
    <w:p>
      <w:pPr>
        <w:spacing w:line="400" w:lineRule="exact"/>
        <w:ind w:firstLine="480"/>
        <w:rPr>
          <w:rFonts w:hint="eastAsia" w:ascii="仿宋" w:hAnsi="仿宋" w:eastAsia="仿宋" w:cs="仿宋_GB2312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当事人：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泉州台商投资区和泰鞋底厂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统一社会信用代码：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92350521MA30PFC739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spacing w:val="-2"/>
          <w:sz w:val="28"/>
          <w:szCs w:val="28"/>
          <w:u w:val="single"/>
          <w:lang w:val="en-US" w:eastAsia="zh-CN"/>
        </w:rPr>
        <w:t>江森杰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地  址：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福建省泉州市台商投资区东园镇下垵村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《消防安全违法行为移送函》泉台消移送字〔2024〕第0001号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，本机关于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日对你（单位）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消防设施、器材、消防安全标志配置、设置不符合标准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的行为予以立案调查。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36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现已查明，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2023年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日，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泉州台商投资区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消防救援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大队消防监督员在对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泉州台商投资区和泰鞋底厂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进行消防监督检查，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发现该单位：2至3层未设置应急照明灯和疏散指示标志,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存在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消防设施、器材、消防安全标志配置、设置不符合标准的消防安全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>违法行为，违反了《中华人民共和国消防法》第十六条第一款第二项之规定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。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6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以上事实有</w:t>
      </w:r>
      <w:bookmarkStart w:id="0" w:name="_GoBack"/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>《泉州台商投资区消防救援大队移送函》泉台消移送字〔2024〕第0001号、《消防监督检查记录》（编号：[2023]第1353号），《责令限期改正通知书》（泉台消限字〔2023〕第0327号）、泉州台商投资区消防救援大队送达回证（泉台消送证字[2024]第0004号）、火灾隐患整改跟踪督促提示函（泉台消患提字[2024]第0001号）、现场照片及对江森杰的询问笔录</w:t>
      </w:r>
      <w:bookmarkEnd w:id="0"/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本机关认为你（单位）的上述行为违反了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《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single"/>
          <w:lang w:val="en-US" w:eastAsia="zh-CN"/>
        </w:rPr>
        <w:t xml:space="preserve">中华人民共和国消防法》第十六条第一款第二项   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的规定，现依据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《中华人民共和国消防法》第六十条第一款第一项和《福建省消防行政处罚裁量规定》第十六条及《消防行政处罚裁量标准》编号002-1号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的规定，决定对你（单位）作出如下行政处罚：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>处罚款人民币玖仟叁佰元整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none"/>
          <w:lang w:val="en-US" w:eastAsia="zh-CN"/>
        </w:rPr>
        <w:t>的行政处罚</w:t>
      </w:r>
      <w:r>
        <w:rPr>
          <w:rFonts w:hint="eastAsia" w:ascii="仿宋" w:hAnsi="仿宋" w:eastAsia="仿宋" w:cs="仿宋_GB2312"/>
          <w:color w:val="000000"/>
          <w:spacing w:val="-6"/>
          <w:kern w:val="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履行方式和期限：</w:t>
      </w:r>
      <w:r>
        <w:rPr>
          <w:rFonts w:hint="eastAsia" w:ascii="仿宋" w:hAnsi="仿宋" w:eastAsia="仿宋" w:cs="仿宋_GB2312"/>
          <w:sz w:val="28"/>
          <w:szCs w:val="28"/>
        </w:rPr>
        <w:sym w:font="Wingdings 2" w:char="0052"/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你（单位）应当自收到本处罚决定书之日起15日内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持《福建省政府非税收缴款通知书》到银行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纳罚款。到期不缴纳罚款，依据《中华人民共和国行政处罚法》第七十二条第一项规定每日按罚款数额的3%加处罚款，加处罚款的数额不超过罚款的数额。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如不服本处罚决定，可以在收到本决定书之日起 60 日内向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泉州台商投资区管理委员会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申请行政复议；也可以在收到本决定书之日起 6 个月内直接向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eastAsia="zh-CN"/>
        </w:rPr>
        <w:t>鲤城区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人民法院起诉，但本决定不停止执行，法律另有规定的除外。逾期不申请行政复议、不提起行政诉讼又不履行的，本机关将依法申请人民法院强制执行或依照有关规定强制执行。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="5360" w:firstLineChars="2000"/>
        <w:textAlignment w:val="auto"/>
        <w:outlineLvl w:val="9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jc w:val="right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惠安县东园镇人民政府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8" w:firstLineChars="2100"/>
        <w:textAlignment w:val="auto"/>
        <w:outlineLvl w:val="9"/>
        <w:rPr>
          <w:rFonts w:hint="eastAsia"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2024年2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8E3"/>
    <w:rsid w:val="0434465C"/>
    <w:rsid w:val="15241FFD"/>
    <w:rsid w:val="153A4942"/>
    <w:rsid w:val="18CD5DAF"/>
    <w:rsid w:val="24F518A4"/>
    <w:rsid w:val="29C85371"/>
    <w:rsid w:val="2B4E44DF"/>
    <w:rsid w:val="2C135C3D"/>
    <w:rsid w:val="393E0600"/>
    <w:rsid w:val="40A2158D"/>
    <w:rsid w:val="430B11E7"/>
    <w:rsid w:val="470E2ED5"/>
    <w:rsid w:val="4E884266"/>
    <w:rsid w:val="5ECF2C64"/>
    <w:rsid w:val="667D7CFA"/>
    <w:rsid w:val="67AD7164"/>
    <w:rsid w:val="6D535020"/>
    <w:rsid w:val="6DB8064F"/>
    <w:rsid w:val="76AC18E3"/>
    <w:rsid w:val="7C3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2023-07-19T02:10:00Z</dcterms:created>
  <dc:creator>静静的思念</dc:creator>
  <cp:lastModifiedBy>静静的思念</cp:lastModifiedBy>
  <cp:lastPrinted>2024-02-05T08:59:00Z</cp:lastPrinted>
  <dcterms:modified xsi:type="dcterms:W3CDTF">2024-02-19T08:18:39Z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