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436" w:firstLineChars="700"/>
        <w:jc w:val="both"/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惠安县东园镇人民政府</w:t>
      </w:r>
    </w:p>
    <w:p>
      <w:pPr>
        <w:spacing w:line="480" w:lineRule="exact"/>
        <w:ind w:firstLine="0" w:firstLineChars="0"/>
        <w:jc w:val="center"/>
        <w:rPr>
          <w:rFonts w:hint="eastAsia" w:ascii="仿宋" w:hAnsi="仿宋" w:eastAsia="仿宋" w:cs="仿宋_GB2312"/>
          <w:color w:val="000000"/>
          <w:sz w:val="24"/>
          <w:szCs w:val="24"/>
          <w:u w:val="single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jc w:val="center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eastAsia="仿宋" w:cs="仿宋"/>
          <w:sz w:val="28"/>
          <w:szCs w:val="28"/>
          <w:lang w:eastAsia="zh-CN"/>
        </w:rPr>
        <w:t>闽泉台东园〔202</w:t>
      </w:r>
      <w:r>
        <w:rPr>
          <w:rFonts w:hint="eastAsia" w:eastAsia="仿宋" w:cs="仿宋"/>
          <w:sz w:val="28"/>
          <w:szCs w:val="28"/>
          <w:lang w:val="en-US" w:eastAsia="zh-CN"/>
        </w:rPr>
        <w:t>4</w:t>
      </w:r>
      <w:r>
        <w:rPr>
          <w:rFonts w:hint="eastAsia" w:eastAsia="仿宋" w:cs="仿宋"/>
          <w:sz w:val="28"/>
          <w:szCs w:val="28"/>
          <w:lang w:eastAsia="zh-CN"/>
        </w:rPr>
        <w:t>〕罚字第</w:t>
      </w:r>
      <w:r>
        <w:rPr>
          <w:rFonts w:hint="eastAsia" w:eastAsia="仿宋" w:cs="仿宋"/>
          <w:sz w:val="28"/>
          <w:szCs w:val="28"/>
          <w:lang w:val="en-US" w:eastAsia="zh-CN"/>
        </w:rPr>
        <w:t>001</w:t>
      </w:r>
      <w:r>
        <w:rPr>
          <w:rFonts w:hint="eastAsia" w:eastAsia="仿宋" w:cs="仿宋"/>
          <w:sz w:val="28"/>
          <w:szCs w:val="28"/>
        </w:rPr>
        <w:t>号</w:t>
      </w:r>
    </w:p>
    <w:p>
      <w:pPr>
        <w:spacing w:line="400" w:lineRule="exact"/>
        <w:ind w:firstLine="480"/>
        <w:rPr>
          <w:rFonts w:hint="eastAsia" w:ascii="仿宋" w:hAnsi="仿宋" w:eastAsia="仿宋" w:cs="仿宋_GB2312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泉州煌益鞋业有限公司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统一社会信用代码：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91350521MACP07RD96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spacing w:val="-2"/>
          <w:sz w:val="28"/>
          <w:szCs w:val="28"/>
          <w:u w:val="single"/>
          <w:lang w:val="en-US" w:eastAsia="zh-CN"/>
        </w:rPr>
        <w:t>杨伟清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地  址：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福建省泉州台商投资区东园镇灵溪村内厝241号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《消防安全违法行为移送函》泉台消移送字〔2023〕第0013号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，本机关于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日对你（单位）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其他场所与居住场所设置在同一建筑物内不符合消防技术标准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的行为予以立案调查。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36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现已查明，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2023年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日，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泉州台商投资区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消防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大队消防监督员在对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泉州煌益鞋业有限公司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进行消防监督检查，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发现该单位一栋3层建筑：一、二楼为生产车间,三楼为仓库.三楼设有一间员工宿舍（设有1个房间，住1人）,存在储存场所与居住场所设置在同一建筑内,共用同一安全出口，且住宿部分与非住宿部分未采用相应防火分隔，不符合《住宿与生产储存经营合用场所消防安全技术要求》（XF703-2007）第4.3条规定，违反《中华人民共和国消防法》第十九条第二款规定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以上事实有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 xml:space="preserve">《消防安全违法行为移送函》泉台消移送字〔2023〕第0013号、现场照片及对杨伟清的询问笔录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本机关认为你（单位）的上述行为违反了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《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>中华人民共和国消防法》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十九条第二款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的规定，现依据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《中华人民共和国消防法》第六十一条第二款和《福建省消防行政处罚裁量规定》第二十三条及《消防行政处罚裁量标准》编号003-1号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的规定，决定对你（单位）作出如下行政处罚：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责令停产停业，并处罚款人民币伍仟元整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val="en-US" w:eastAsia="zh-CN"/>
        </w:rPr>
        <w:t>的行政处罚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履行方式和期限：</w:t>
      </w:r>
      <w:r>
        <w:rPr>
          <w:rFonts w:hint="eastAsia" w:ascii="仿宋" w:hAnsi="仿宋" w:eastAsia="仿宋" w:cs="仿宋_GB2312"/>
          <w:sz w:val="28"/>
          <w:szCs w:val="28"/>
        </w:rPr>
        <w:sym w:font="Wingdings 2" w:char="0052"/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你（单位）应当自收到本处罚决定书之日起15日内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持《福建省政府非税收缴款通知书》到银行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纳罚款。到期不缴纳罚款，依据《中华人民共和国行政处罚法》第七十二条第一项规定每日按罚款数额的3%加处罚款，加处罚款的数额不超过罚款的数额。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如不服本处罚决定，可以在收到本决定书之日起 60 日内向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泉州台商投资区管理委员会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申请行政复议；也可以在收到本决定书之日起 6 个月内直接向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鲤城区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人民法院起诉，但本决定不停止执行，法律另有规定的除外。逾期不申请行政复议、不提起行政诉讼又不履行的，本机关将依法申请人民法院强制执行或依照有关规定强制执行。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="5360" w:firstLineChars="20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jc w:val="right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惠安县东园镇人民政府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8" w:firstLineChars="2100"/>
        <w:textAlignment w:val="auto"/>
        <w:outlineLvl w:val="9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2024年2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8E3"/>
    <w:rsid w:val="0434465C"/>
    <w:rsid w:val="15241FFD"/>
    <w:rsid w:val="18CD5DAF"/>
    <w:rsid w:val="29C85371"/>
    <w:rsid w:val="2B4E44DF"/>
    <w:rsid w:val="2C135C3D"/>
    <w:rsid w:val="393E0600"/>
    <w:rsid w:val="430B11E7"/>
    <w:rsid w:val="470E2ED5"/>
    <w:rsid w:val="4E884266"/>
    <w:rsid w:val="5ECF2C64"/>
    <w:rsid w:val="667D7CFA"/>
    <w:rsid w:val="67AD7164"/>
    <w:rsid w:val="6D535020"/>
    <w:rsid w:val="6DB8064F"/>
    <w:rsid w:val="76AC18E3"/>
    <w:rsid w:val="7B3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2023-07-19T02:10:00Z</dcterms:created>
  <dc:creator>静静的思念</dc:creator>
  <cp:lastModifiedBy>静静的思念</cp:lastModifiedBy>
  <cp:lastPrinted>2024-02-05T01:51:00Z</cp:lastPrinted>
  <dcterms:modified xsi:type="dcterms:W3CDTF">2024-02-28T07:11:18Z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