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tabs>
          <w:tab w:val="left" w:pos="1259"/>
        </w:tabs>
        <w:spacing w:line="489" w:lineRule="exact"/>
        <w:jc w:val="center"/>
        <w:rPr>
          <w:rFonts w:eastAsia="Times New Roman"/>
          <w:lang w:eastAsia="zh-CN"/>
        </w:rPr>
      </w:pPr>
      <w:r>
        <w:rPr>
          <w:rFonts w:hint="eastAsia" w:ascii="Times New Roman" w:hAnsi="Times New Roman"/>
          <w:color w:val="231F20"/>
          <w:lang w:eastAsia="zh-CN"/>
        </w:rPr>
        <w:t>泉州台商投资区管理委员会市场监督管理局</w:t>
      </w:r>
    </w:p>
    <w:p>
      <w:pPr>
        <w:spacing w:line="641" w:lineRule="exact"/>
        <w:jc w:val="center"/>
        <w:rPr>
          <w:rFonts w:ascii="Arial Unicode MS" w:hAnsi="Arial Unicode MS" w:cs="Arial Unicode MS"/>
          <w:sz w:val="42"/>
          <w:szCs w:val="42"/>
        </w:rPr>
      </w:pPr>
      <w:r>
        <w:rPr>
          <w:rFonts w:hint="eastAsia" w:ascii="Arial Unicode MS" w:hAnsi="Arial Unicode MS" w:cs="Arial Unicode MS"/>
          <w:color w:val="231F20"/>
          <w:sz w:val="42"/>
          <w:szCs w:val="42"/>
        </w:rPr>
        <w:t>行政处罚决定书</w:t>
      </w:r>
    </w:p>
    <w:p>
      <w:pPr>
        <w:jc w:val="center"/>
        <w:rPr>
          <w:rFonts w:hint="eastAsia" w:ascii="宋体" w:hAnsi="宋体"/>
          <w:color w:val="231F20"/>
          <w:sz w:val="28"/>
          <w:szCs w:val="28"/>
        </w:rPr>
      </w:pPr>
      <w:r>
        <w:rPr>
          <w:rFonts w:hint="eastAsia" w:ascii="宋体" w:hAnsi="宋体"/>
          <w:color w:val="231F20"/>
          <w:sz w:val="28"/>
          <w:szCs w:val="28"/>
        </w:rPr>
        <w:t>泉台管市监处罚〔2023〕6号</w:t>
      </w:r>
    </w:p>
    <w:p>
      <w:pPr>
        <w:jc w:val="center"/>
        <w:rPr>
          <w:rFonts w:ascii="宋体"/>
          <w:color w:val="231F20"/>
          <w:sz w:val="28"/>
          <w:szCs w:val="28"/>
        </w:rPr>
      </w:pPr>
    </w:p>
    <w:p>
      <w:pPr>
        <w:tabs>
          <w:tab w:val="left" w:pos="2850"/>
          <w:tab w:val="center" w:pos="3998"/>
        </w:tabs>
        <w:spacing w:line="560" w:lineRule="exact"/>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当事人名称：百崎乡后海村卫生所</w:t>
      </w:r>
    </w:p>
    <w:p>
      <w:pPr>
        <w:tabs>
          <w:tab w:val="left" w:pos="2850"/>
          <w:tab w:val="center" w:pos="3998"/>
        </w:tabs>
        <w:spacing w:line="560" w:lineRule="exact"/>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主体资格证照名称：医疗机构执业许可</w:t>
      </w:r>
    </w:p>
    <w:p>
      <w:pPr>
        <w:tabs>
          <w:tab w:val="left" w:pos="2850"/>
          <w:tab w:val="center" w:pos="3998"/>
        </w:tabs>
        <w:spacing w:line="560" w:lineRule="exact"/>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登记号：</w:t>
      </w:r>
      <w:r>
        <w:rPr>
          <w:rFonts w:ascii="仿宋_GB2312" w:hAnsi="仿宋" w:eastAsia="仿宋_GB2312"/>
          <w:bCs/>
          <w:color w:val="000000"/>
          <w:sz w:val="32"/>
          <w:szCs w:val="32"/>
        </w:rPr>
        <w:t>PDY00105535052112D6001</w:t>
      </w:r>
    </w:p>
    <w:p>
      <w:pPr>
        <w:tabs>
          <w:tab w:val="left" w:pos="2850"/>
          <w:tab w:val="center" w:pos="3998"/>
        </w:tabs>
        <w:spacing w:line="560" w:lineRule="exact"/>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经营场所：百崎乡后海村加坑 314号</w:t>
      </w:r>
    </w:p>
    <w:p>
      <w:pPr>
        <w:tabs>
          <w:tab w:val="left" w:pos="2850"/>
          <w:tab w:val="center" w:pos="3998"/>
        </w:tabs>
        <w:spacing w:line="560" w:lineRule="exact"/>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主要负责人：郑伟锋</w:t>
      </w:r>
    </w:p>
    <w:p>
      <w:pPr>
        <w:tabs>
          <w:tab w:val="left" w:pos="2850"/>
          <w:tab w:val="center" w:pos="3998"/>
        </w:tabs>
        <w:spacing w:line="560" w:lineRule="exact"/>
        <w:jc w:val="left"/>
        <w:rPr>
          <w:rFonts w:hint="eastAsia" w:ascii="仿宋_GB2312" w:hAnsi="仿宋" w:eastAsia="仿宋_GB2312"/>
          <w:bCs/>
          <w:color w:val="000000"/>
          <w:sz w:val="32"/>
          <w:szCs w:val="32"/>
          <w:lang w:val="en-US" w:eastAsia="zh-CN"/>
        </w:rPr>
      </w:pPr>
      <w:r>
        <w:rPr>
          <w:rFonts w:hint="eastAsia" w:ascii="仿宋_GB2312" w:hAnsi="仿宋" w:eastAsia="仿宋_GB2312"/>
          <w:bCs/>
          <w:color w:val="000000"/>
          <w:sz w:val="32"/>
          <w:szCs w:val="32"/>
        </w:rPr>
        <w:t>身份证号码：</w:t>
      </w:r>
      <w:r>
        <w:rPr>
          <w:rFonts w:hint="eastAsia" w:ascii="仿宋_GB2312" w:hAnsi="仿宋" w:eastAsia="仿宋_GB2312"/>
          <w:bCs/>
          <w:color w:val="000000"/>
          <w:sz w:val="32"/>
          <w:szCs w:val="32"/>
          <w:lang w:val="en-US" w:eastAsia="zh-CN"/>
        </w:rPr>
        <w:t>***</w:t>
      </w:r>
      <w:bookmarkStart w:id="0" w:name="_GoBack"/>
      <w:bookmarkEnd w:id="0"/>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2022 年11 月21 日下午，我局执法人员对位于百崎乡后海村加坑314 号的后海村卫生所进行检查。执法人员在当事人经营场所内药柜发现5盒郑州卓峰制药有限公司生产的地塞米松磷酸钠滴眼液【批号：2205161E、包装上标注有贮藏：密闭，在凉暗处（避光并不超过20°C）】以及2盒天津中新药业集团股份有限公司第六中药厂的速效救心丸【批号：611477、包装上标注有贮藏：密封，置阴凉干燥处(不超过 20°C）】。现场检查时该卫生所室内的温湿度计上显示室内温度为 24.5°C，当事人未将上述两款药品放入阴凉柜贮藏。当事人涉嫌未按规定储存药品，违反《福建省药品和医疗器械流通监督管理办法》第十二条第一款的规定，为进一步查清事实，报经局领导同意，本局于</w:t>
      </w:r>
      <w:r>
        <w:rPr>
          <w:rFonts w:ascii="仿宋_GB2312" w:hAnsi="仿宋" w:eastAsia="仿宋_GB2312"/>
          <w:bCs/>
          <w:color w:val="000000"/>
          <w:sz w:val="32"/>
          <w:szCs w:val="32"/>
        </w:rPr>
        <w:t>202</w:t>
      </w:r>
      <w:r>
        <w:rPr>
          <w:rFonts w:hint="eastAsia" w:ascii="仿宋_GB2312" w:hAnsi="仿宋" w:eastAsia="仿宋_GB2312"/>
          <w:bCs/>
          <w:color w:val="000000"/>
          <w:sz w:val="32"/>
          <w:szCs w:val="32"/>
        </w:rPr>
        <w:t>2年</w:t>
      </w:r>
      <w:r>
        <w:rPr>
          <w:rFonts w:ascii="仿宋_GB2312" w:hAnsi="仿宋" w:eastAsia="仿宋_GB2312"/>
          <w:bCs/>
          <w:color w:val="000000"/>
          <w:sz w:val="32"/>
          <w:szCs w:val="32"/>
        </w:rPr>
        <w:t>1</w:t>
      </w:r>
      <w:r>
        <w:rPr>
          <w:rFonts w:hint="eastAsia" w:ascii="仿宋_GB2312" w:hAnsi="仿宋" w:eastAsia="仿宋_GB2312"/>
          <w:bCs/>
          <w:color w:val="000000"/>
          <w:sz w:val="32"/>
          <w:szCs w:val="32"/>
        </w:rPr>
        <w:t>1月22日以“百崎乡后海村卫生所未按规定储存药品”为由予以立案调查。</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经查明，2022年11 月21 日，当事人将郑州卓峰制药有限公司生产的 5 盒地塞米松磷酸钠滴眼液【批号：2205161日、包装上标注有贮藏：密闭，在凉暗处（避光并不超过 20°C）】以及2盒天津中新药业集团股份有限公司第六中药厂的速效救心丸【批号：611477、包装上标注有贮藏：密封，置阴凉干燥处（不超过20°C）】放置于卫生所室内药柜常温储存。至案发时，上述药品直接放置于药柜，当天卫生所室内的温湿度计上显示室内温度为 24.5摄氏度，不符合上述药品包装标识上的贮藏要求。另，2022 年10 月20日，当事人因未按规定储存药品被我局处以警告。</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上述事实，主要有以下证据证明：</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1现场检查笔录 1份及现场检查照片，证明：执法人员实施检查的过程、证据调取等程序的合法性，当事人未按规定储存药品的事实。</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2.询问笔录 1份，证明：当事人未按规定储存药品的事实。</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3. 当事人负责人身份证复印件，证明：当事人负责人的身份信息。</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4. 当事人 《医疗机构执业许可证》 复印件1份，证明：当事人经营主体资格。</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5. 当事人提供地塞米松磷酸钠滴眼液以及速效救心丸的销售清单，证明：当事人购进药品渠道的合法性。</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本局于</w:t>
      </w:r>
      <w:r>
        <w:rPr>
          <w:rFonts w:ascii="仿宋_GB2312" w:hAnsi="仿宋" w:eastAsia="仿宋_GB2312"/>
          <w:bCs/>
          <w:color w:val="000000"/>
          <w:sz w:val="32"/>
          <w:szCs w:val="32"/>
        </w:rPr>
        <w:t>2022</w:t>
      </w:r>
      <w:r>
        <w:rPr>
          <w:rFonts w:hint="eastAsia" w:ascii="仿宋_GB2312" w:hAnsi="仿宋" w:eastAsia="仿宋_GB2312"/>
          <w:bCs/>
          <w:color w:val="000000"/>
          <w:sz w:val="32"/>
          <w:szCs w:val="32"/>
        </w:rPr>
        <w:t>年12月21日向当事人送达泉台管市监罚告（</w:t>
      </w:r>
      <w:r>
        <w:rPr>
          <w:rFonts w:ascii="仿宋_GB2312" w:hAnsi="仿宋" w:eastAsia="仿宋_GB2312"/>
          <w:bCs/>
          <w:color w:val="000000"/>
          <w:sz w:val="32"/>
          <w:szCs w:val="32"/>
        </w:rPr>
        <w:t>2022</w:t>
      </w:r>
      <w:r>
        <w:rPr>
          <w:rFonts w:hint="eastAsia" w:ascii="仿宋_GB2312" w:hAnsi="仿宋" w:eastAsia="仿宋_GB2312"/>
          <w:bCs/>
          <w:color w:val="000000"/>
          <w:sz w:val="32"/>
          <w:szCs w:val="32"/>
        </w:rPr>
        <w:t>）</w:t>
      </w:r>
      <w:r>
        <w:rPr>
          <w:rFonts w:ascii="仿宋_GB2312" w:hAnsi="仿宋" w:eastAsia="仿宋_GB2312"/>
          <w:bCs/>
          <w:color w:val="000000"/>
          <w:sz w:val="32"/>
          <w:szCs w:val="32"/>
        </w:rPr>
        <w:t>b0</w:t>
      </w:r>
      <w:r>
        <w:rPr>
          <w:rFonts w:hint="eastAsia" w:ascii="仿宋_GB2312" w:hAnsi="仿宋" w:eastAsia="仿宋_GB2312"/>
          <w:bCs/>
          <w:color w:val="000000"/>
          <w:sz w:val="32"/>
          <w:szCs w:val="32"/>
        </w:rPr>
        <w:t>84号《泉州台商投资区管理委员会市场监督管理局行政处罚告知书》，依法告知行政处罚的内容、事实、理由、依据以及当事人依法享有陈述、申辩的权利，当事人在法定期限内未提出陈述、申辩，视为放弃此权利。</w:t>
      </w:r>
    </w:p>
    <w:p>
      <w:pPr>
        <w:spacing w:line="560" w:lineRule="exact"/>
        <w:ind w:firstLine="640"/>
        <w:rPr>
          <w:rFonts w:ascii="仿宋_GB2312" w:hAnsi="仿宋" w:eastAsia="仿宋_GB2312"/>
          <w:bCs/>
          <w:color w:val="000000"/>
          <w:sz w:val="32"/>
          <w:szCs w:val="32"/>
        </w:rPr>
      </w:pPr>
      <w:r>
        <w:rPr>
          <w:rFonts w:hint="eastAsia" w:ascii="仿宋_GB2312" w:hAnsi="仿宋" w:eastAsia="仿宋_GB2312"/>
          <w:bCs/>
          <w:color w:val="000000"/>
          <w:sz w:val="32"/>
          <w:szCs w:val="32"/>
        </w:rPr>
        <w:t>当事人未按规定储存药品的行为，违反了《福建省药品和医疗器械流通监督管理办法》第十二条第一款“药品生产、经营企业和使用单位应当按照药品标准和说明书的要求，采取相应的冷藏、防冻、防潮、避光、通风、防虫、防尘、防鼠等措施储存、运输药品，并建立药品监测、养护记录。”的规定。</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鉴于当事人积极配合我局调查，如实陈述违法事实，违法行为轻微，且未收到社会面因使用药品引起的不良反应，社会危害性较小。根据《福建省药品监管行政处罚裁量权适用实施细则》第十三条(一）（三）项的规定，我局决定从轻处罚。</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根据《福建省药品和医疗器械流通监督管理办法》第三十八第(三）项“有下列情形之一的，由县以上食品药品监督管理部门责令限期改正，给予警告;逾期不改正的，处以1000元以上1万元以下的罚款：… (三) 违反本办法第十二条第一款规定，药品使用单位未按规定储存、运输药品的；…”的规定。我局责令当事人改正未按规定储存药品的行为，作出如下处罚：罚款2000元。</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以上罚款</w:t>
      </w:r>
      <w:r>
        <w:rPr>
          <w:rFonts w:ascii="仿宋_GB2312" w:hAnsi="仿宋" w:eastAsia="仿宋_GB2312"/>
          <w:bCs/>
          <w:color w:val="000000"/>
          <w:sz w:val="32"/>
          <w:szCs w:val="32"/>
        </w:rPr>
        <w:t>,</w:t>
      </w:r>
      <w:r>
        <w:rPr>
          <w:rFonts w:hint="eastAsia" w:ascii="仿宋_GB2312" w:hAnsi="仿宋" w:eastAsia="仿宋_GB2312"/>
          <w:bCs/>
          <w:color w:val="000000"/>
          <w:sz w:val="32"/>
          <w:szCs w:val="32"/>
        </w:rPr>
        <w:t>当事人应自接到本处罚决定书之日起十五日内到本局开具“罚没收入专用缴款书”，按照规定的缴款渠道缴纳</w:t>
      </w:r>
      <w:r>
        <w:rPr>
          <w:rFonts w:ascii="仿宋_GB2312" w:hAnsi="仿宋" w:eastAsia="仿宋_GB2312"/>
          <w:bCs/>
          <w:color w:val="000000"/>
          <w:sz w:val="32"/>
          <w:szCs w:val="32"/>
        </w:rPr>
        <w:t>,</w:t>
      </w:r>
      <w:r>
        <w:rPr>
          <w:rFonts w:hint="eastAsia" w:ascii="仿宋_GB2312" w:hAnsi="仿宋" w:eastAsia="仿宋_GB2312"/>
          <w:bCs/>
          <w:color w:val="000000"/>
          <w:sz w:val="32"/>
          <w:szCs w:val="32"/>
        </w:rPr>
        <w:t>逾期不缴纳的</w:t>
      </w:r>
      <w:r>
        <w:rPr>
          <w:rFonts w:ascii="仿宋_GB2312" w:hAnsi="仿宋" w:eastAsia="仿宋_GB2312"/>
          <w:bCs/>
          <w:color w:val="000000"/>
          <w:sz w:val="32"/>
          <w:szCs w:val="32"/>
        </w:rPr>
        <w:t>,</w:t>
      </w:r>
      <w:r>
        <w:rPr>
          <w:rFonts w:hint="eastAsia" w:ascii="仿宋_GB2312" w:hAnsi="仿宋" w:eastAsia="仿宋_GB2312"/>
          <w:bCs/>
          <w:color w:val="000000"/>
          <w:sz w:val="32"/>
          <w:szCs w:val="32"/>
        </w:rPr>
        <w:t>本局可按《中华人民共和国行政处罚法》第七十二条第一项的规定，每日按所处罚款数额的百分之三加处罚款。当事人拒不履行本行政处罚决定的，本局将依照《中华人民共和国行政强制法》的规定，申请人民法院强制执行。</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r>
        <w:rPr>
          <w:rFonts w:hint="eastAsia" w:ascii="仿宋_GB2312" w:hAnsi="仿宋" w:eastAsia="仿宋_GB2312"/>
          <w:bCs/>
          <w:color w:val="000000"/>
          <w:sz w:val="32"/>
          <w:szCs w:val="32"/>
        </w:rPr>
        <w:t>当事人如不服以上决定</w:t>
      </w:r>
      <w:r>
        <w:rPr>
          <w:rFonts w:ascii="仿宋_GB2312" w:hAnsi="仿宋" w:eastAsia="仿宋_GB2312"/>
          <w:bCs/>
          <w:color w:val="000000"/>
          <w:sz w:val="32"/>
          <w:szCs w:val="32"/>
        </w:rPr>
        <w:t>,</w:t>
      </w:r>
      <w:r>
        <w:rPr>
          <w:rFonts w:hint="eastAsia" w:ascii="仿宋_GB2312" w:hAnsi="仿宋" w:eastAsia="仿宋_GB2312"/>
          <w:bCs/>
          <w:color w:val="000000"/>
          <w:sz w:val="32"/>
          <w:szCs w:val="32"/>
        </w:rPr>
        <w:t>可自接到本处罚决定书之日起六十日内向泉州台商投资区管理委员会申请复议，也可自接到本处罚决定书之日起六个月内直接向鲤城区人民法院起诉。当事人对本处罚决定不服申请行政复议或提起行政诉讼的，本处罚决定不停止执行。</w:t>
      </w: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p>
    <w:p>
      <w:pPr>
        <w:tabs>
          <w:tab w:val="left" w:pos="2850"/>
          <w:tab w:val="center" w:pos="3998"/>
        </w:tabs>
        <w:spacing w:line="560" w:lineRule="exact"/>
        <w:ind w:firstLine="640" w:firstLineChars="200"/>
        <w:jc w:val="left"/>
        <w:rPr>
          <w:rFonts w:ascii="仿宋_GB2312" w:hAnsi="仿宋" w:eastAsia="仿宋_GB2312"/>
          <w:bCs/>
          <w:color w:val="000000"/>
          <w:sz w:val="32"/>
          <w:szCs w:val="32"/>
        </w:rPr>
      </w:pPr>
    </w:p>
    <w:p>
      <w:pPr>
        <w:tabs>
          <w:tab w:val="left" w:pos="2850"/>
          <w:tab w:val="center" w:pos="3998"/>
        </w:tabs>
        <w:spacing w:line="560" w:lineRule="exact"/>
        <w:ind w:firstLine="640" w:firstLineChars="200"/>
        <w:jc w:val="right"/>
        <w:rPr>
          <w:rFonts w:ascii="仿宋_GB2312" w:hAnsi="仿宋" w:eastAsia="仿宋_GB2312"/>
          <w:bCs/>
          <w:sz w:val="32"/>
          <w:szCs w:val="32"/>
        </w:rPr>
      </w:pPr>
      <w:r>
        <w:rPr>
          <w:rFonts w:ascii="仿宋_GB2312" w:hAnsi="仿宋" w:eastAsia="仿宋_GB2312"/>
          <w:bCs/>
          <w:color w:val="000000"/>
          <w:sz w:val="32"/>
          <w:szCs w:val="32"/>
        </w:rPr>
        <w:t xml:space="preserve">   </w:t>
      </w:r>
      <w:r>
        <w:rPr>
          <w:rFonts w:hint="eastAsia" w:ascii="仿宋_GB2312" w:hAnsi="仿宋" w:eastAsia="仿宋_GB2312"/>
          <w:bCs/>
          <w:color w:val="000000"/>
          <w:sz w:val="32"/>
          <w:szCs w:val="32"/>
        </w:rPr>
        <w:t>泉州台商投资区</w:t>
      </w:r>
      <w:r>
        <w:rPr>
          <w:rFonts w:hint="eastAsia" w:ascii="仿宋_GB2312" w:hAnsi="仿宋" w:eastAsia="仿宋_GB2312"/>
          <w:bCs/>
          <w:sz w:val="32"/>
          <w:szCs w:val="32"/>
        </w:rPr>
        <w:t>管理委员会市场监督管理局</w:t>
      </w:r>
    </w:p>
    <w:p>
      <w:pPr>
        <w:tabs>
          <w:tab w:val="left" w:pos="2850"/>
          <w:tab w:val="center" w:pos="3998"/>
        </w:tabs>
        <w:spacing w:line="560" w:lineRule="exact"/>
        <w:ind w:firstLine="640" w:firstLineChars="200"/>
        <w:jc w:val="left"/>
        <w:rPr>
          <w:rFonts w:ascii="仿宋_GB2312" w:hAnsi="仿宋" w:eastAsia="仿宋_GB2312"/>
          <w:bCs/>
          <w:sz w:val="32"/>
          <w:szCs w:val="32"/>
        </w:rPr>
      </w:pPr>
      <w:r>
        <w:rPr>
          <w:rFonts w:ascii="仿宋_GB2312" w:hAnsi="仿宋" w:eastAsia="仿宋_GB2312"/>
          <w:bCs/>
          <w:sz w:val="32"/>
          <w:szCs w:val="32"/>
        </w:rPr>
        <w:t xml:space="preserve">                        202</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年1月3</w:t>
      </w:r>
      <w:r>
        <w:rPr>
          <w:rFonts w:hint="eastAsia" w:ascii="仿宋_GB2312" w:hAnsi="仿宋" w:eastAsia="仿宋_GB2312"/>
          <w:bCs/>
          <w:sz w:val="32"/>
          <w:szCs w:val="32"/>
          <w:lang w:val="en-US" w:eastAsia="zh-CN"/>
        </w:rPr>
        <w:t>1</w:t>
      </w:r>
      <w:r>
        <w:rPr>
          <w:rFonts w:hint="eastAsia" w:ascii="仿宋_GB2312" w:hAnsi="仿宋" w:eastAsia="仿宋_GB2312"/>
          <w:bCs/>
          <w:sz w:val="32"/>
          <w:szCs w:val="32"/>
        </w:rPr>
        <w:t>日</w:t>
      </w:r>
    </w:p>
    <w:p>
      <w:pPr>
        <w:tabs>
          <w:tab w:val="left" w:pos="2850"/>
          <w:tab w:val="center" w:pos="3998"/>
        </w:tabs>
        <w:spacing w:line="560" w:lineRule="exact"/>
        <w:rPr>
          <w:rFonts w:ascii="仿宋" w:hAnsi="仿宋" w:eastAsia="仿宋"/>
          <w:bCs/>
          <w:sz w:val="30"/>
          <w:szCs w:val="30"/>
        </w:rPr>
      </w:pPr>
    </w:p>
    <w:p>
      <w:pPr>
        <w:tabs>
          <w:tab w:val="left" w:pos="2850"/>
          <w:tab w:val="center" w:pos="3998"/>
        </w:tabs>
        <w:spacing w:line="560" w:lineRule="exact"/>
        <w:rPr>
          <w:rFonts w:ascii="仿宋_GB2312" w:hAnsi="仿宋" w:eastAsia="仿宋_GB2312"/>
          <w:bCs/>
          <w:sz w:val="32"/>
          <w:szCs w:val="32"/>
        </w:rPr>
      </w:pPr>
      <w:r>
        <w:rPr>
          <w:rFonts w:hint="eastAsia" w:ascii="仿宋_GB2312" w:hAnsi="仿宋" w:eastAsia="仿宋_GB2312"/>
          <w:bCs/>
          <w:sz w:val="32"/>
          <w:szCs w:val="32"/>
        </w:rPr>
        <w:t>（市场监督管理部门将依法向社会公开行政处罚决定信息）</w:t>
      </w:r>
    </w:p>
    <w:p>
      <w:pPr>
        <w:tabs>
          <w:tab w:val="left" w:pos="2850"/>
          <w:tab w:val="center" w:pos="3998"/>
        </w:tabs>
        <w:spacing w:line="500" w:lineRule="exact"/>
        <w:jc w:val="left"/>
        <w:rPr>
          <w:rFonts w:ascii="仿宋" w:hAnsi="仿宋" w:eastAsia="仿宋"/>
          <w:bCs/>
          <w:sz w:val="30"/>
          <w:szCs w:val="30"/>
        </w:rPr>
      </w:pPr>
    </w:p>
    <w:sectPr>
      <w:headerReference r:id="rId3" w:type="default"/>
      <w:footerReference r:id="rId4" w:type="default"/>
      <w:footerReference r:id="rId5" w:type="even"/>
      <w:pgSz w:w="11907" w:h="16840"/>
      <w:pgMar w:top="1814" w:right="1701" w:bottom="1814" w:left="1871" w:header="130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54D"/>
    <w:rsid w:val="00005AFD"/>
    <w:rsid w:val="0000717F"/>
    <w:rsid w:val="00007AF2"/>
    <w:rsid w:val="0001300B"/>
    <w:rsid w:val="000154D6"/>
    <w:rsid w:val="000159E1"/>
    <w:rsid w:val="000178A9"/>
    <w:rsid w:val="00021953"/>
    <w:rsid w:val="00022A2D"/>
    <w:rsid w:val="00030C02"/>
    <w:rsid w:val="00034962"/>
    <w:rsid w:val="00045B06"/>
    <w:rsid w:val="00046FB3"/>
    <w:rsid w:val="00047066"/>
    <w:rsid w:val="00047616"/>
    <w:rsid w:val="000505C2"/>
    <w:rsid w:val="000506AD"/>
    <w:rsid w:val="0005602A"/>
    <w:rsid w:val="00057EC5"/>
    <w:rsid w:val="000611DB"/>
    <w:rsid w:val="00061E4B"/>
    <w:rsid w:val="00062EFD"/>
    <w:rsid w:val="00063301"/>
    <w:rsid w:val="000649DA"/>
    <w:rsid w:val="00066E4D"/>
    <w:rsid w:val="00067D26"/>
    <w:rsid w:val="00070206"/>
    <w:rsid w:val="00072596"/>
    <w:rsid w:val="000741E3"/>
    <w:rsid w:val="0007546C"/>
    <w:rsid w:val="00080272"/>
    <w:rsid w:val="00080869"/>
    <w:rsid w:val="00081640"/>
    <w:rsid w:val="00081A12"/>
    <w:rsid w:val="00084E82"/>
    <w:rsid w:val="000853E3"/>
    <w:rsid w:val="000862B3"/>
    <w:rsid w:val="000870CA"/>
    <w:rsid w:val="000871E0"/>
    <w:rsid w:val="00090189"/>
    <w:rsid w:val="000908E7"/>
    <w:rsid w:val="00091D22"/>
    <w:rsid w:val="00093E46"/>
    <w:rsid w:val="000943FB"/>
    <w:rsid w:val="00097313"/>
    <w:rsid w:val="000A0753"/>
    <w:rsid w:val="000A10DA"/>
    <w:rsid w:val="000A2ADA"/>
    <w:rsid w:val="000A3BB3"/>
    <w:rsid w:val="000A6BDF"/>
    <w:rsid w:val="000A7D84"/>
    <w:rsid w:val="000B0FA7"/>
    <w:rsid w:val="000B1C26"/>
    <w:rsid w:val="000B1CDD"/>
    <w:rsid w:val="000B40CE"/>
    <w:rsid w:val="000C02DF"/>
    <w:rsid w:val="000C0A4A"/>
    <w:rsid w:val="000C1273"/>
    <w:rsid w:val="000C18E3"/>
    <w:rsid w:val="000C2300"/>
    <w:rsid w:val="000C27F2"/>
    <w:rsid w:val="000C2AB4"/>
    <w:rsid w:val="000C3C29"/>
    <w:rsid w:val="000C5BA9"/>
    <w:rsid w:val="000C5DDC"/>
    <w:rsid w:val="000C6409"/>
    <w:rsid w:val="000C77C1"/>
    <w:rsid w:val="000C79A3"/>
    <w:rsid w:val="000D0AC7"/>
    <w:rsid w:val="000D4CAC"/>
    <w:rsid w:val="000D6982"/>
    <w:rsid w:val="000E024A"/>
    <w:rsid w:val="000E0522"/>
    <w:rsid w:val="000E2449"/>
    <w:rsid w:val="000E26AB"/>
    <w:rsid w:val="000E3110"/>
    <w:rsid w:val="000E338A"/>
    <w:rsid w:val="000E45F2"/>
    <w:rsid w:val="000E5B7D"/>
    <w:rsid w:val="000F003F"/>
    <w:rsid w:val="000F0BDA"/>
    <w:rsid w:val="000F1C72"/>
    <w:rsid w:val="000F4FE6"/>
    <w:rsid w:val="000F62D5"/>
    <w:rsid w:val="000F751E"/>
    <w:rsid w:val="001003A8"/>
    <w:rsid w:val="00101629"/>
    <w:rsid w:val="00101F35"/>
    <w:rsid w:val="001021B9"/>
    <w:rsid w:val="00102A75"/>
    <w:rsid w:val="00102CB1"/>
    <w:rsid w:val="001030F0"/>
    <w:rsid w:val="00103B95"/>
    <w:rsid w:val="00106C05"/>
    <w:rsid w:val="0011329E"/>
    <w:rsid w:val="0011674B"/>
    <w:rsid w:val="00116C92"/>
    <w:rsid w:val="00117D92"/>
    <w:rsid w:val="00122512"/>
    <w:rsid w:val="00123811"/>
    <w:rsid w:val="001254DD"/>
    <w:rsid w:val="00126AA7"/>
    <w:rsid w:val="00131247"/>
    <w:rsid w:val="001318D8"/>
    <w:rsid w:val="00132EDE"/>
    <w:rsid w:val="00133EBF"/>
    <w:rsid w:val="00137346"/>
    <w:rsid w:val="00137502"/>
    <w:rsid w:val="0014020B"/>
    <w:rsid w:val="00141D21"/>
    <w:rsid w:val="0014255C"/>
    <w:rsid w:val="00143105"/>
    <w:rsid w:val="00143E95"/>
    <w:rsid w:val="0014576C"/>
    <w:rsid w:val="001460B6"/>
    <w:rsid w:val="00151307"/>
    <w:rsid w:val="0015131F"/>
    <w:rsid w:val="00152219"/>
    <w:rsid w:val="0015396F"/>
    <w:rsid w:val="0015558B"/>
    <w:rsid w:val="0015641C"/>
    <w:rsid w:val="00157BB6"/>
    <w:rsid w:val="001606D6"/>
    <w:rsid w:val="00163AE5"/>
    <w:rsid w:val="00170135"/>
    <w:rsid w:val="0017026A"/>
    <w:rsid w:val="001707DF"/>
    <w:rsid w:val="00172A27"/>
    <w:rsid w:val="001735B9"/>
    <w:rsid w:val="00173B46"/>
    <w:rsid w:val="001741A5"/>
    <w:rsid w:val="001746A3"/>
    <w:rsid w:val="00175D37"/>
    <w:rsid w:val="001774C7"/>
    <w:rsid w:val="001779D9"/>
    <w:rsid w:val="00180A6B"/>
    <w:rsid w:val="00182FEB"/>
    <w:rsid w:val="00183CC5"/>
    <w:rsid w:val="00186A8E"/>
    <w:rsid w:val="001905B8"/>
    <w:rsid w:val="0019074D"/>
    <w:rsid w:val="0019160C"/>
    <w:rsid w:val="0019346D"/>
    <w:rsid w:val="00195765"/>
    <w:rsid w:val="00196A2A"/>
    <w:rsid w:val="0019752C"/>
    <w:rsid w:val="001A050A"/>
    <w:rsid w:val="001A1C17"/>
    <w:rsid w:val="001A1CD4"/>
    <w:rsid w:val="001A2F44"/>
    <w:rsid w:val="001A4B17"/>
    <w:rsid w:val="001A6CA5"/>
    <w:rsid w:val="001A708B"/>
    <w:rsid w:val="001A7311"/>
    <w:rsid w:val="001A75AF"/>
    <w:rsid w:val="001B1FF1"/>
    <w:rsid w:val="001B4DBB"/>
    <w:rsid w:val="001B4EF5"/>
    <w:rsid w:val="001B71B9"/>
    <w:rsid w:val="001C06C8"/>
    <w:rsid w:val="001C08D0"/>
    <w:rsid w:val="001C599A"/>
    <w:rsid w:val="001C5D73"/>
    <w:rsid w:val="001C7CAE"/>
    <w:rsid w:val="001D1E48"/>
    <w:rsid w:val="001D3269"/>
    <w:rsid w:val="001D548F"/>
    <w:rsid w:val="001D5D26"/>
    <w:rsid w:val="001D7306"/>
    <w:rsid w:val="001E0032"/>
    <w:rsid w:val="001E1EBB"/>
    <w:rsid w:val="001E290A"/>
    <w:rsid w:val="001E2D28"/>
    <w:rsid w:val="001E303F"/>
    <w:rsid w:val="001E3D76"/>
    <w:rsid w:val="001E69C8"/>
    <w:rsid w:val="001E7F41"/>
    <w:rsid w:val="001F1014"/>
    <w:rsid w:val="001F440B"/>
    <w:rsid w:val="001F4510"/>
    <w:rsid w:val="001F5E29"/>
    <w:rsid w:val="002000CE"/>
    <w:rsid w:val="002010B5"/>
    <w:rsid w:val="00203E1D"/>
    <w:rsid w:val="00207962"/>
    <w:rsid w:val="00213B72"/>
    <w:rsid w:val="002152BB"/>
    <w:rsid w:val="00221B4C"/>
    <w:rsid w:val="0022360A"/>
    <w:rsid w:val="002265E8"/>
    <w:rsid w:val="00227AB3"/>
    <w:rsid w:val="00232F85"/>
    <w:rsid w:val="0023597F"/>
    <w:rsid w:val="00245D2B"/>
    <w:rsid w:val="002471BF"/>
    <w:rsid w:val="00251B0D"/>
    <w:rsid w:val="00251C43"/>
    <w:rsid w:val="00252EA1"/>
    <w:rsid w:val="00252FEB"/>
    <w:rsid w:val="002538BC"/>
    <w:rsid w:val="002543A2"/>
    <w:rsid w:val="00256B70"/>
    <w:rsid w:val="002576A5"/>
    <w:rsid w:val="00263439"/>
    <w:rsid w:val="002667B2"/>
    <w:rsid w:val="00267271"/>
    <w:rsid w:val="00271AD5"/>
    <w:rsid w:val="002721A8"/>
    <w:rsid w:val="00273AB1"/>
    <w:rsid w:val="00277415"/>
    <w:rsid w:val="00280618"/>
    <w:rsid w:val="00281B08"/>
    <w:rsid w:val="00290E4D"/>
    <w:rsid w:val="00293BA7"/>
    <w:rsid w:val="00295725"/>
    <w:rsid w:val="002A02C2"/>
    <w:rsid w:val="002A04FA"/>
    <w:rsid w:val="002A30E7"/>
    <w:rsid w:val="002A7371"/>
    <w:rsid w:val="002A7AD1"/>
    <w:rsid w:val="002B050A"/>
    <w:rsid w:val="002B2C99"/>
    <w:rsid w:val="002B644B"/>
    <w:rsid w:val="002B7DBC"/>
    <w:rsid w:val="002B7EE7"/>
    <w:rsid w:val="002C074F"/>
    <w:rsid w:val="002C0CCB"/>
    <w:rsid w:val="002C0F0F"/>
    <w:rsid w:val="002C3FBB"/>
    <w:rsid w:val="002C5D8B"/>
    <w:rsid w:val="002C6631"/>
    <w:rsid w:val="002C7FA9"/>
    <w:rsid w:val="002D0AF0"/>
    <w:rsid w:val="002D1046"/>
    <w:rsid w:val="002D1211"/>
    <w:rsid w:val="002D1598"/>
    <w:rsid w:val="002D47AD"/>
    <w:rsid w:val="002D4AA7"/>
    <w:rsid w:val="002D720A"/>
    <w:rsid w:val="002E1081"/>
    <w:rsid w:val="002E23AB"/>
    <w:rsid w:val="002F7B30"/>
    <w:rsid w:val="00302F70"/>
    <w:rsid w:val="0030393F"/>
    <w:rsid w:val="00303BFB"/>
    <w:rsid w:val="00303D99"/>
    <w:rsid w:val="00303F06"/>
    <w:rsid w:val="003041CF"/>
    <w:rsid w:val="003051B7"/>
    <w:rsid w:val="00310F93"/>
    <w:rsid w:val="00311CF3"/>
    <w:rsid w:val="003133C6"/>
    <w:rsid w:val="0031422D"/>
    <w:rsid w:val="003162C5"/>
    <w:rsid w:val="0032215E"/>
    <w:rsid w:val="003230E4"/>
    <w:rsid w:val="003317F7"/>
    <w:rsid w:val="00333921"/>
    <w:rsid w:val="00333D5E"/>
    <w:rsid w:val="00335CCE"/>
    <w:rsid w:val="003379A5"/>
    <w:rsid w:val="003407B3"/>
    <w:rsid w:val="00341686"/>
    <w:rsid w:val="003439D2"/>
    <w:rsid w:val="00346152"/>
    <w:rsid w:val="0034667C"/>
    <w:rsid w:val="00347178"/>
    <w:rsid w:val="0034781C"/>
    <w:rsid w:val="00351D0F"/>
    <w:rsid w:val="003611D1"/>
    <w:rsid w:val="00363A64"/>
    <w:rsid w:val="00365A62"/>
    <w:rsid w:val="00367A6E"/>
    <w:rsid w:val="00367AF4"/>
    <w:rsid w:val="00372FD4"/>
    <w:rsid w:val="00375DF7"/>
    <w:rsid w:val="003804CD"/>
    <w:rsid w:val="00380ECD"/>
    <w:rsid w:val="00381BF9"/>
    <w:rsid w:val="00381E4E"/>
    <w:rsid w:val="00383083"/>
    <w:rsid w:val="00384E3D"/>
    <w:rsid w:val="0038556D"/>
    <w:rsid w:val="00385F56"/>
    <w:rsid w:val="003910A8"/>
    <w:rsid w:val="00393F4A"/>
    <w:rsid w:val="003A1C03"/>
    <w:rsid w:val="003A4CC2"/>
    <w:rsid w:val="003A65E6"/>
    <w:rsid w:val="003A6920"/>
    <w:rsid w:val="003A6C11"/>
    <w:rsid w:val="003A6DDA"/>
    <w:rsid w:val="003B069C"/>
    <w:rsid w:val="003B2CFF"/>
    <w:rsid w:val="003B4649"/>
    <w:rsid w:val="003B47A9"/>
    <w:rsid w:val="003B614B"/>
    <w:rsid w:val="003C0818"/>
    <w:rsid w:val="003C335B"/>
    <w:rsid w:val="003C433C"/>
    <w:rsid w:val="003C49A8"/>
    <w:rsid w:val="003C50D9"/>
    <w:rsid w:val="003C63D5"/>
    <w:rsid w:val="003C7F4B"/>
    <w:rsid w:val="003D46BE"/>
    <w:rsid w:val="003D5598"/>
    <w:rsid w:val="003E130D"/>
    <w:rsid w:val="003E5B8A"/>
    <w:rsid w:val="003F1D3F"/>
    <w:rsid w:val="003F367F"/>
    <w:rsid w:val="003F5954"/>
    <w:rsid w:val="003F6FCD"/>
    <w:rsid w:val="003F7B7E"/>
    <w:rsid w:val="004013B1"/>
    <w:rsid w:val="004016F2"/>
    <w:rsid w:val="00401755"/>
    <w:rsid w:val="00403712"/>
    <w:rsid w:val="004078A4"/>
    <w:rsid w:val="00412228"/>
    <w:rsid w:val="00414DD4"/>
    <w:rsid w:val="00421C96"/>
    <w:rsid w:val="0042286A"/>
    <w:rsid w:val="00431181"/>
    <w:rsid w:val="0043130F"/>
    <w:rsid w:val="004318CA"/>
    <w:rsid w:val="00433AB9"/>
    <w:rsid w:val="0043614A"/>
    <w:rsid w:val="00440088"/>
    <w:rsid w:val="0044312F"/>
    <w:rsid w:val="004444B2"/>
    <w:rsid w:val="00447D80"/>
    <w:rsid w:val="004516E8"/>
    <w:rsid w:val="0045338B"/>
    <w:rsid w:val="00455EF2"/>
    <w:rsid w:val="004564CF"/>
    <w:rsid w:val="00460DD0"/>
    <w:rsid w:val="0046129D"/>
    <w:rsid w:val="00462D27"/>
    <w:rsid w:val="004634F1"/>
    <w:rsid w:val="004665C3"/>
    <w:rsid w:val="0046737F"/>
    <w:rsid w:val="00467B04"/>
    <w:rsid w:val="00475D70"/>
    <w:rsid w:val="00476833"/>
    <w:rsid w:val="004805BD"/>
    <w:rsid w:val="004837F5"/>
    <w:rsid w:val="00483DB1"/>
    <w:rsid w:val="00486F4D"/>
    <w:rsid w:val="00490EB8"/>
    <w:rsid w:val="004954D2"/>
    <w:rsid w:val="004966D1"/>
    <w:rsid w:val="0049711F"/>
    <w:rsid w:val="00497BAA"/>
    <w:rsid w:val="004A1205"/>
    <w:rsid w:val="004A1651"/>
    <w:rsid w:val="004A657B"/>
    <w:rsid w:val="004B0F43"/>
    <w:rsid w:val="004B1E14"/>
    <w:rsid w:val="004B1F3F"/>
    <w:rsid w:val="004B22DB"/>
    <w:rsid w:val="004B5283"/>
    <w:rsid w:val="004B54C1"/>
    <w:rsid w:val="004C320D"/>
    <w:rsid w:val="004C3E2B"/>
    <w:rsid w:val="004C56AF"/>
    <w:rsid w:val="004C7C8D"/>
    <w:rsid w:val="004D192F"/>
    <w:rsid w:val="004D317D"/>
    <w:rsid w:val="004D358E"/>
    <w:rsid w:val="004D35D0"/>
    <w:rsid w:val="004D3D96"/>
    <w:rsid w:val="004D4C07"/>
    <w:rsid w:val="004E124A"/>
    <w:rsid w:val="004E5365"/>
    <w:rsid w:val="004F1540"/>
    <w:rsid w:val="004F2934"/>
    <w:rsid w:val="004F39F2"/>
    <w:rsid w:val="004F4C3C"/>
    <w:rsid w:val="004F4D92"/>
    <w:rsid w:val="004F5611"/>
    <w:rsid w:val="005009EC"/>
    <w:rsid w:val="0050307F"/>
    <w:rsid w:val="00512D0A"/>
    <w:rsid w:val="00512FFF"/>
    <w:rsid w:val="00513277"/>
    <w:rsid w:val="00515010"/>
    <w:rsid w:val="00515524"/>
    <w:rsid w:val="005161C5"/>
    <w:rsid w:val="00521C77"/>
    <w:rsid w:val="00523A2D"/>
    <w:rsid w:val="00525A01"/>
    <w:rsid w:val="00525FD3"/>
    <w:rsid w:val="00527FC7"/>
    <w:rsid w:val="00531F02"/>
    <w:rsid w:val="00532B0C"/>
    <w:rsid w:val="0053337A"/>
    <w:rsid w:val="00533B97"/>
    <w:rsid w:val="005360A5"/>
    <w:rsid w:val="005363A8"/>
    <w:rsid w:val="00536FC0"/>
    <w:rsid w:val="00542905"/>
    <w:rsid w:val="00545AE8"/>
    <w:rsid w:val="00550CBD"/>
    <w:rsid w:val="005518D9"/>
    <w:rsid w:val="00551FC3"/>
    <w:rsid w:val="00552410"/>
    <w:rsid w:val="0055243C"/>
    <w:rsid w:val="00557AF4"/>
    <w:rsid w:val="005606A5"/>
    <w:rsid w:val="00565A52"/>
    <w:rsid w:val="005720CA"/>
    <w:rsid w:val="00573871"/>
    <w:rsid w:val="005766E8"/>
    <w:rsid w:val="00577D22"/>
    <w:rsid w:val="00580450"/>
    <w:rsid w:val="0058273C"/>
    <w:rsid w:val="00586484"/>
    <w:rsid w:val="00594512"/>
    <w:rsid w:val="00596B34"/>
    <w:rsid w:val="00596B73"/>
    <w:rsid w:val="00597016"/>
    <w:rsid w:val="005A1390"/>
    <w:rsid w:val="005A2B98"/>
    <w:rsid w:val="005B1BB6"/>
    <w:rsid w:val="005B1BD2"/>
    <w:rsid w:val="005B41C3"/>
    <w:rsid w:val="005B4517"/>
    <w:rsid w:val="005B5110"/>
    <w:rsid w:val="005B766C"/>
    <w:rsid w:val="005C0B10"/>
    <w:rsid w:val="005C13CF"/>
    <w:rsid w:val="005C2415"/>
    <w:rsid w:val="005C3831"/>
    <w:rsid w:val="005C60A1"/>
    <w:rsid w:val="005C68D1"/>
    <w:rsid w:val="005C75BF"/>
    <w:rsid w:val="005D0127"/>
    <w:rsid w:val="005D6757"/>
    <w:rsid w:val="005E248E"/>
    <w:rsid w:val="005E277B"/>
    <w:rsid w:val="005E35EF"/>
    <w:rsid w:val="005E5D6B"/>
    <w:rsid w:val="005E7EE8"/>
    <w:rsid w:val="005F0121"/>
    <w:rsid w:val="005F0D74"/>
    <w:rsid w:val="005F3CBC"/>
    <w:rsid w:val="005F442B"/>
    <w:rsid w:val="005F5B37"/>
    <w:rsid w:val="005F730E"/>
    <w:rsid w:val="005F789A"/>
    <w:rsid w:val="005F7C4C"/>
    <w:rsid w:val="006038EE"/>
    <w:rsid w:val="006049E8"/>
    <w:rsid w:val="00607857"/>
    <w:rsid w:val="00613204"/>
    <w:rsid w:val="00613CAB"/>
    <w:rsid w:val="00615F6B"/>
    <w:rsid w:val="0062003C"/>
    <w:rsid w:val="00620C9E"/>
    <w:rsid w:val="00621A46"/>
    <w:rsid w:val="00621BFD"/>
    <w:rsid w:val="00622FCE"/>
    <w:rsid w:val="00623E73"/>
    <w:rsid w:val="006248CE"/>
    <w:rsid w:val="00624A63"/>
    <w:rsid w:val="006259DF"/>
    <w:rsid w:val="00631515"/>
    <w:rsid w:val="006320BC"/>
    <w:rsid w:val="00634B8E"/>
    <w:rsid w:val="00637EB7"/>
    <w:rsid w:val="006406A8"/>
    <w:rsid w:val="00645399"/>
    <w:rsid w:val="00645AB5"/>
    <w:rsid w:val="00646981"/>
    <w:rsid w:val="0065195B"/>
    <w:rsid w:val="006547DF"/>
    <w:rsid w:val="006623B9"/>
    <w:rsid w:val="006627A6"/>
    <w:rsid w:val="00663D1E"/>
    <w:rsid w:val="006663D5"/>
    <w:rsid w:val="0066709E"/>
    <w:rsid w:val="00672E45"/>
    <w:rsid w:val="00674D82"/>
    <w:rsid w:val="006767B2"/>
    <w:rsid w:val="00677A66"/>
    <w:rsid w:val="00682908"/>
    <w:rsid w:val="00685BED"/>
    <w:rsid w:val="0069166C"/>
    <w:rsid w:val="0069271C"/>
    <w:rsid w:val="00692C40"/>
    <w:rsid w:val="00692D31"/>
    <w:rsid w:val="006946C7"/>
    <w:rsid w:val="006A0E9D"/>
    <w:rsid w:val="006A345A"/>
    <w:rsid w:val="006A35E6"/>
    <w:rsid w:val="006B20F1"/>
    <w:rsid w:val="006B27A3"/>
    <w:rsid w:val="006B28A6"/>
    <w:rsid w:val="006B3115"/>
    <w:rsid w:val="006B4C8A"/>
    <w:rsid w:val="006C3ACF"/>
    <w:rsid w:val="006C3F16"/>
    <w:rsid w:val="006C5E3A"/>
    <w:rsid w:val="006C5F1B"/>
    <w:rsid w:val="006D25B1"/>
    <w:rsid w:val="006D5ACF"/>
    <w:rsid w:val="006D68CD"/>
    <w:rsid w:val="006E0432"/>
    <w:rsid w:val="006E3121"/>
    <w:rsid w:val="006E40A4"/>
    <w:rsid w:val="006E7AC0"/>
    <w:rsid w:val="006F476E"/>
    <w:rsid w:val="006F4DFF"/>
    <w:rsid w:val="006F76B3"/>
    <w:rsid w:val="00700ECF"/>
    <w:rsid w:val="00703EA9"/>
    <w:rsid w:val="007046D1"/>
    <w:rsid w:val="00705187"/>
    <w:rsid w:val="00705436"/>
    <w:rsid w:val="00710BAB"/>
    <w:rsid w:val="007111C7"/>
    <w:rsid w:val="00717E8D"/>
    <w:rsid w:val="00720BEC"/>
    <w:rsid w:val="00725541"/>
    <w:rsid w:val="007262BD"/>
    <w:rsid w:val="00727CBC"/>
    <w:rsid w:val="0073058E"/>
    <w:rsid w:val="0073243B"/>
    <w:rsid w:val="00732AB7"/>
    <w:rsid w:val="00733A36"/>
    <w:rsid w:val="00736207"/>
    <w:rsid w:val="007407C7"/>
    <w:rsid w:val="007439BD"/>
    <w:rsid w:val="00744894"/>
    <w:rsid w:val="00752BE9"/>
    <w:rsid w:val="0075334A"/>
    <w:rsid w:val="00757281"/>
    <w:rsid w:val="00760E2B"/>
    <w:rsid w:val="0076228D"/>
    <w:rsid w:val="007646EB"/>
    <w:rsid w:val="00767D10"/>
    <w:rsid w:val="00770895"/>
    <w:rsid w:val="00771536"/>
    <w:rsid w:val="007720C6"/>
    <w:rsid w:val="007723C1"/>
    <w:rsid w:val="00773438"/>
    <w:rsid w:val="00775A20"/>
    <w:rsid w:val="007772B5"/>
    <w:rsid w:val="0078056B"/>
    <w:rsid w:val="007816E2"/>
    <w:rsid w:val="00786274"/>
    <w:rsid w:val="00787FEB"/>
    <w:rsid w:val="00793317"/>
    <w:rsid w:val="007951BC"/>
    <w:rsid w:val="00795C11"/>
    <w:rsid w:val="007971D4"/>
    <w:rsid w:val="007A0A96"/>
    <w:rsid w:val="007A23E6"/>
    <w:rsid w:val="007A264D"/>
    <w:rsid w:val="007A2B4D"/>
    <w:rsid w:val="007A5ED3"/>
    <w:rsid w:val="007B0AF8"/>
    <w:rsid w:val="007B2432"/>
    <w:rsid w:val="007B4113"/>
    <w:rsid w:val="007B4213"/>
    <w:rsid w:val="007B7067"/>
    <w:rsid w:val="007B7275"/>
    <w:rsid w:val="007B7EC2"/>
    <w:rsid w:val="007C1F74"/>
    <w:rsid w:val="007C4A9C"/>
    <w:rsid w:val="007C601B"/>
    <w:rsid w:val="007C6485"/>
    <w:rsid w:val="007D2505"/>
    <w:rsid w:val="007D3E74"/>
    <w:rsid w:val="007D4715"/>
    <w:rsid w:val="007D756F"/>
    <w:rsid w:val="007E257A"/>
    <w:rsid w:val="007E33B2"/>
    <w:rsid w:val="007E71C0"/>
    <w:rsid w:val="007E75E8"/>
    <w:rsid w:val="007F16DE"/>
    <w:rsid w:val="007F5AC4"/>
    <w:rsid w:val="007F63DC"/>
    <w:rsid w:val="007F67AD"/>
    <w:rsid w:val="00801207"/>
    <w:rsid w:val="008023EB"/>
    <w:rsid w:val="00802C19"/>
    <w:rsid w:val="00802E25"/>
    <w:rsid w:val="00802FAE"/>
    <w:rsid w:val="008038BB"/>
    <w:rsid w:val="0080407E"/>
    <w:rsid w:val="0080641F"/>
    <w:rsid w:val="00807021"/>
    <w:rsid w:val="008223D2"/>
    <w:rsid w:val="0082390B"/>
    <w:rsid w:val="008247B2"/>
    <w:rsid w:val="0082497E"/>
    <w:rsid w:val="008301C6"/>
    <w:rsid w:val="008338D4"/>
    <w:rsid w:val="00835174"/>
    <w:rsid w:val="008429F5"/>
    <w:rsid w:val="00847CFE"/>
    <w:rsid w:val="00851922"/>
    <w:rsid w:val="0085253D"/>
    <w:rsid w:val="00852DFD"/>
    <w:rsid w:val="008546A1"/>
    <w:rsid w:val="008561B0"/>
    <w:rsid w:val="008565CA"/>
    <w:rsid w:val="0085706F"/>
    <w:rsid w:val="00874D4C"/>
    <w:rsid w:val="00881468"/>
    <w:rsid w:val="008832FC"/>
    <w:rsid w:val="00883E09"/>
    <w:rsid w:val="008850DF"/>
    <w:rsid w:val="00886BF9"/>
    <w:rsid w:val="00887491"/>
    <w:rsid w:val="00894AA2"/>
    <w:rsid w:val="0089562B"/>
    <w:rsid w:val="008A056B"/>
    <w:rsid w:val="008A188C"/>
    <w:rsid w:val="008A518B"/>
    <w:rsid w:val="008A6DA5"/>
    <w:rsid w:val="008A6F18"/>
    <w:rsid w:val="008B536D"/>
    <w:rsid w:val="008C2D4B"/>
    <w:rsid w:val="008C33D2"/>
    <w:rsid w:val="008C345D"/>
    <w:rsid w:val="008C47B1"/>
    <w:rsid w:val="008C584C"/>
    <w:rsid w:val="008C69E8"/>
    <w:rsid w:val="008D1558"/>
    <w:rsid w:val="008D530C"/>
    <w:rsid w:val="008D6A55"/>
    <w:rsid w:val="008E0038"/>
    <w:rsid w:val="008E00D5"/>
    <w:rsid w:val="008E00FF"/>
    <w:rsid w:val="008E5081"/>
    <w:rsid w:val="008E60F8"/>
    <w:rsid w:val="008E6578"/>
    <w:rsid w:val="008F0B33"/>
    <w:rsid w:val="008F347B"/>
    <w:rsid w:val="00900ADF"/>
    <w:rsid w:val="009029AD"/>
    <w:rsid w:val="00903449"/>
    <w:rsid w:val="009050E0"/>
    <w:rsid w:val="00907AA0"/>
    <w:rsid w:val="00907D83"/>
    <w:rsid w:val="009108BD"/>
    <w:rsid w:val="0091189C"/>
    <w:rsid w:val="00912F3C"/>
    <w:rsid w:val="00913866"/>
    <w:rsid w:val="009166EC"/>
    <w:rsid w:val="009167BC"/>
    <w:rsid w:val="00917222"/>
    <w:rsid w:val="00917E37"/>
    <w:rsid w:val="009210CF"/>
    <w:rsid w:val="00923024"/>
    <w:rsid w:val="009321A6"/>
    <w:rsid w:val="00933B25"/>
    <w:rsid w:val="00933D28"/>
    <w:rsid w:val="00934C6B"/>
    <w:rsid w:val="00934F6F"/>
    <w:rsid w:val="00942520"/>
    <w:rsid w:val="00942FA7"/>
    <w:rsid w:val="00944933"/>
    <w:rsid w:val="009463D4"/>
    <w:rsid w:val="00946B19"/>
    <w:rsid w:val="00950F68"/>
    <w:rsid w:val="00952710"/>
    <w:rsid w:val="0095466F"/>
    <w:rsid w:val="009551B4"/>
    <w:rsid w:val="00955CA7"/>
    <w:rsid w:val="0095635D"/>
    <w:rsid w:val="00956D9B"/>
    <w:rsid w:val="00957F12"/>
    <w:rsid w:val="00960A11"/>
    <w:rsid w:val="00962F9A"/>
    <w:rsid w:val="00963D49"/>
    <w:rsid w:val="0096441B"/>
    <w:rsid w:val="0096562F"/>
    <w:rsid w:val="00966A78"/>
    <w:rsid w:val="0096744F"/>
    <w:rsid w:val="009716B2"/>
    <w:rsid w:val="009719BF"/>
    <w:rsid w:val="009732A5"/>
    <w:rsid w:val="009740A3"/>
    <w:rsid w:val="00974211"/>
    <w:rsid w:val="009819E2"/>
    <w:rsid w:val="00984A7E"/>
    <w:rsid w:val="00986048"/>
    <w:rsid w:val="00987A52"/>
    <w:rsid w:val="00987FEE"/>
    <w:rsid w:val="009A06B2"/>
    <w:rsid w:val="009A43B9"/>
    <w:rsid w:val="009A5429"/>
    <w:rsid w:val="009B06B7"/>
    <w:rsid w:val="009B5C0B"/>
    <w:rsid w:val="009B5D8C"/>
    <w:rsid w:val="009B6E32"/>
    <w:rsid w:val="009B7215"/>
    <w:rsid w:val="009C3E53"/>
    <w:rsid w:val="009C3FE0"/>
    <w:rsid w:val="009C6306"/>
    <w:rsid w:val="009C78A1"/>
    <w:rsid w:val="009D1E22"/>
    <w:rsid w:val="009D21B4"/>
    <w:rsid w:val="009D4BA7"/>
    <w:rsid w:val="009E0566"/>
    <w:rsid w:val="009E3314"/>
    <w:rsid w:val="009E71D0"/>
    <w:rsid w:val="009F0EC8"/>
    <w:rsid w:val="009F1B36"/>
    <w:rsid w:val="009F399F"/>
    <w:rsid w:val="009F74C2"/>
    <w:rsid w:val="00A00EC8"/>
    <w:rsid w:val="00A01653"/>
    <w:rsid w:val="00A025FB"/>
    <w:rsid w:val="00A03B3B"/>
    <w:rsid w:val="00A14E68"/>
    <w:rsid w:val="00A15869"/>
    <w:rsid w:val="00A21125"/>
    <w:rsid w:val="00A23FA9"/>
    <w:rsid w:val="00A242CE"/>
    <w:rsid w:val="00A2549D"/>
    <w:rsid w:val="00A26385"/>
    <w:rsid w:val="00A33D99"/>
    <w:rsid w:val="00A345E0"/>
    <w:rsid w:val="00A349D5"/>
    <w:rsid w:val="00A3586F"/>
    <w:rsid w:val="00A35F2D"/>
    <w:rsid w:val="00A41642"/>
    <w:rsid w:val="00A42263"/>
    <w:rsid w:val="00A43DBC"/>
    <w:rsid w:val="00A44FCA"/>
    <w:rsid w:val="00A46EEC"/>
    <w:rsid w:val="00A52451"/>
    <w:rsid w:val="00A55807"/>
    <w:rsid w:val="00A6091A"/>
    <w:rsid w:val="00A615A1"/>
    <w:rsid w:val="00A6263E"/>
    <w:rsid w:val="00A6327D"/>
    <w:rsid w:val="00A650AF"/>
    <w:rsid w:val="00A65B17"/>
    <w:rsid w:val="00A66481"/>
    <w:rsid w:val="00A71119"/>
    <w:rsid w:val="00A71201"/>
    <w:rsid w:val="00A729A3"/>
    <w:rsid w:val="00A74C91"/>
    <w:rsid w:val="00A74CA4"/>
    <w:rsid w:val="00A74CA5"/>
    <w:rsid w:val="00A75F0B"/>
    <w:rsid w:val="00A77075"/>
    <w:rsid w:val="00A80729"/>
    <w:rsid w:val="00A85A92"/>
    <w:rsid w:val="00A87162"/>
    <w:rsid w:val="00A95524"/>
    <w:rsid w:val="00AA01AE"/>
    <w:rsid w:val="00AA09EC"/>
    <w:rsid w:val="00AA106E"/>
    <w:rsid w:val="00AA109A"/>
    <w:rsid w:val="00AA7CBF"/>
    <w:rsid w:val="00AB0672"/>
    <w:rsid w:val="00AB3D1F"/>
    <w:rsid w:val="00AB4D19"/>
    <w:rsid w:val="00AB6D1F"/>
    <w:rsid w:val="00AB7D50"/>
    <w:rsid w:val="00AC1F25"/>
    <w:rsid w:val="00AC2723"/>
    <w:rsid w:val="00AC4DA8"/>
    <w:rsid w:val="00AC588D"/>
    <w:rsid w:val="00AC5E4C"/>
    <w:rsid w:val="00AC64E1"/>
    <w:rsid w:val="00AD1A2F"/>
    <w:rsid w:val="00AD3CC4"/>
    <w:rsid w:val="00AD435A"/>
    <w:rsid w:val="00AD478A"/>
    <w:rsid w:val="00AD5A3D"/>
    <w:rsid w:val="00AD7B52"/>
    <w:rsid w:val="00AE16AD"/>
    <w:rsid w:val="00AE1ED8"/>
    <w:rsid w:val="00AE5B5B"/>
    <w:rsid w:val="00AF07FB"/>
    <w:rsid w:val="00AF2219"/>
    <w:rsid w:val="00AF2D54"/>
    <w:rsid w:val="00AF5517"/>
    <w:rsid w:val="00AF701C"/>
    <w:rsid w:val="00B0172D"/>
    <w:rsid w:val="00B02325"/>
    <w:rsid w:val="00B031A3"/>
    <w:rsid w:val="00B06494"/>
    <w:rsid w:val="00B134DB"/>
    <w:rsid w:val="00B13BB9"/>
    <w:rsid w:val="00B1401B"/>
    <w:rsid w:val="00B1404F"/>
    <w:rsid w:val="00B1415C"/>
    <w:rsid w:val="00B141BB"/>
    <w:rsid w:val="00B147B7"/>
    <w:rsid w:val="00B2117D"/>
    <w:rsid w:val="00B2161D"/>
    <w:rsid w:val="00B2168B"/>
    <w:rsid w:val="00B23466"/>
    <w:rsid w:val="00B24025"/>
    <w:rsid w:val="00B243DE"/>
    <w:rsid w:val="00B24FA5"/>
    <w:rsid w:val="00B25153"/>
    <w:rsid w:val="00B25603"/>
    <w:rsid w:val="00B25C21"/>
    <w:rsid w:val="00B27E9F"/>
    <w:rsid w:val="00B31F41"/>
    <w:rsid w:val="00B34AAE"/>
    <w:rsid w:val="00B37422"/>
    <w:rsid w:val="00B4033E"/>
    <w:rsid w:val="00B431CA"/>
    <w:rsid w:val="00B43C2C"/>
    <w:rsid w:val="00B47E3A"/>
    <w:rsid w:val="00B51D0D"/>
    <w:rsid w:val="00B53C07"/>
    <w:rsid w:val="00B56EDD"/>
    <w:rsid w:val="00B57444"/>
    <w:rsid w:val="00B60E46"/>
    <w:rsid w:val="00B643F9"/>
    <w:rsid w:val="00B72E02"/>
    <w:rsid w:val="00B74108"/>
    <w:rsid w:val="00B82135"/>
    <w:rsid w:val="00B829AA"/>
    <w:rsid w:val="00B87A50"/>
    <w:rsid w:val="00B91757"/>
    <w:rsid w:val="00B918AC"/>
    <w:rsid w:val="00B91B7D"/>
    <w:rsid w:val="00B9320C"/>
    <w:rsid w:val="00B9386C"/>
    <w:rsid w:val="00B93D89"/>
    <w:rsid w:val="00B96311"/>
    <w:rsid w:val="00B97642"/>
    <w:rsid w:val="00B979E3"/>
    <w:rsid w:val="00B97E4F"/>
    <w:rsid w:val="00BA0EBE"/>
    <w:rsid w:val="00BA2C77"/>
    <w:rsid w:val="00BA2F40"/>
    <w:rsid w:val="00BA377F"/>
    <w:rsid w:val="00BA7415"/>
    <w:rsid w:val="00BA744E"/>
    <w:rsid w:val="00BB0150"/>
    <w:rsid w:val="00BB0F40"/>
    <w:rsid w:val="00BB1CB4"/>
    <w:rsid w:val="00BB1E7F"/>
    <w:rsid w:val="00BB20E2"/>
    <w:rsid w:val="00BB2BA9"/>
    <w:rsid w:val="00BB3284"/>
    <w:rsid w:val="00BB426D"/>
    <w:rsid w:val="00BB432F"/>
    <w:rsid w:val="00BB5764"/>
    <w:rsid w:val="00BC1197"/>
    <w:rsid w:val="00BC13DC"/>
    <w:rsid w:val="00BC4E06"/>
    <w:rsid w:val="00BC54F2"/>
    <w:rsid w:val="00BC5B4D"/>
    <w:rsid w:val="00BC5FC6"/>
    <w:rsid w:val="00BD0BA1"/>
    <w:rsid w:val="00BD1909"/>
    <w:rsid w:val="00BD221D"/>
    <w:rsid w:val="00BD5A7F"/>
    <w:rsid w:val="00BD6FB6"/>
    <w:rsid w:val="00BE5530"/>
    <w:rsid w:val="00BE7350"/>
    <w:rsid w:val="00BF1589"/>
    <w:rsid w:val="00BF1698"/>
    <w:rsid w:val="00BF4F40"/>
    <w:rsid w:val="00BF5F9A"/>
    <w:rsid w:val="00C02EBC"/>
    <w:rsid w:val="00C03DA9"/>
    <w:rsid w:val="00C0402B"/>
    <w:rsid w:val="00C11984"/>
    <w:rsid w:val="00C12C81"/>
    <w:rsid w:val="00C13086"/>
    <w:rsid w:val="00C20333"/>
    <w:rsid w:val="00C222F0"/>
    <w:rsid w:val="00C230B3"/>
    <w:rsid w:val="00C24584"/>
    <w:rsid w:val="00C24A7C"/>
    <w:rsid w:val="00C2500E"/>
    <w:rsid w:val="00C2684A"/>
    <w:rsid w:val="00C26DDB"/>
    <w:rsid w:val="00C2727B"/>
    <w:rsid w:val="00C27295"/>
    <w:rsid w:val="00C27D54"/>
    <w:rsid w:val="00C312D6"/>
    <w:rsid w:val="00C31BF3"/>
    <w:rsid w:val="00C32341"/>
    <w:rsid w:val="00C3710F"/>
    <w:rsid w:val="00C37A06"/>
    <w:rsid w:val="00C426D4"/>
    <w:rsid w:val="00C44B36"/>
    <w:rsid w:val="00C477A7"/>
    <w:rsid w:val="00C501C0"/>
    <w:rsid w:val="00C52824"/>
    <w:rsid w:val="00C5353E"/>
    <w:rsid w:val="00C56933"/>
    <w:rsid w:val="00C6157D"/>
    <w:rsid w:val="00C63CA4"/>
    <w:rsid w:val="00C64D88"/>
    <w:rsid w:val="00C65AFB"/>
    <w:rsid w:val="00C65C9D"/>
    <w:rsid w:val="00C65DF2"/>
    <w:rsid w:val="00C724AE"/>
    <w:rsid w:val="00C73BDD"/>
    <w:rsid w:val="00C747E1"/>
    <w:rsid w:val="00C74A08"/>
    <w:rsid w:val="00C74DD8"/>
    <w:rsid w:val="00C75A8F"/>
    <w:rsid w:val="00C829C9"/>
    <w:rsid w:val="00C832A1"/>
    <w:rsid w:val="00C839D7"/>
    <w:rsid w:val="00C85EDB"/>
    <w:rsid w:val="00C864EA"/>
    <w:rsid w:val="00C87CA3"/>
    <w:rsid w:val="00C92B81"/>
    <w:rsid w:val="00C9359C"/>
    <w:rsid w:val="00C9476C"/>
    <w:rsid w:val="00C966EA"/>
    <w:rsid w:val="00C96B24"/>
    <w:rsid w:val="00C973AE"/>
    <w:rsid w:val="00CA0F24"/>
    <w:rsid w:val="00CA194A"/>
    <w:rsid w:val="00CA21BD"/>
    <w:rsid w:val="00CA2C89"/>
    <w:rsid w:val="00CA6050"/>
    <w:rsid w:val="00CB0C4B"/>
    <w:rsid w:val="00CB3918"/>
    <w:rsid w:val="00CB47CB"/>
    <w:rsid w:val="00CB4AB5"/>
    <w:rsid w:val="00CB4CBB"/>
    <w:rsid w:val="00CC149D"/>
    <w:rsid w:val="00CC261C"/>
    <w:rsid w:val="00CC4DB5"/>
    <w:rsid w:val="00CC5EE7"/>
    <w:rsid w:val="00CC77D8"/>
    <w:rsid w:val="00CD0821"/>
    <w:rsid w:val="00CD5A1B"/>
    <w:rsid w:val="00CD6F96"/>
    <w:rsid w:val="00CE2F12"/>
    <w:rsid w:val="00CE3100"/>
    <w:rsid w:val="00CE47F6"/>
    <w:rsid w:val="00CE5A6A"/>
    <w:rsid w:val="00CE5FBF"/>
    <w:rsid w:val="00CF05D0"/>
    <w:rsid w:val="00CF0ECB"/>
    <w:rsid w:val="00CF2D15"/>
    <w:rsid w:val="00CF3420"/>
    <w:rsid w:val="00CF4AA4"/>
    <w:rsid w:val="00CF4C7E"/>
    <w:rsid w:val="00D00B29"/>
    <w:rsid w:val="00D10AF1"/>
    <w:rsid w:val="00D127B6"/>
    <w:rsid w:val="00D14134"/>
    <w:rsid w:val="00D146E7"/>
    <w:rsid w:val="00D15724"/>
    <w:rsid w:val="00D17562"/>
    <w:rsid w:val="00D2004A"/>
    <w:rsid w:val="00D213BD"/>
    <w:rsid w:val="00D222E7"/>
    <w:rsid w:val="00D22DED"/>
    <w:rsid w:val="00D257F3"/>
    <w:rsid w:val="00D25CD6"/>
    <w:rsid w:val="00D3194F"/>
    <w:rsid w:val="00D31EAC"/>
    <w:rsid w:val="00D31F1C"/>
    <w:rsid w:val="00D32428"/>
    <w:rsid w:val="00D32A8A"/>
    <w:rsid w:val="00D356A7"/>
    <w:rsid w:val="00D40F39"/>
    <w:rsid w:val="00D44682"/>
    <w:rsid w:val="00D45078"/>
    <w:rsid w:val="00D45898"/>
    <w:rsid w:val="00D52CA7"/>
    <w:rsid w:val="00D531B3"/>
    <w:rsid w:val="00D5452B"/>
    <w:rsid w:val="00D545D3"/>
    <w:rsid w:val="00D562AF"/>
    <w:rsid w:val="00D56656"/>
    <w:rsid w:val="00D6040E"/>
    <w:rsid w:val="00D631C4"/>
    <w:rsid w:val="00D64562"/>
    <w:rsid w:val="00D64B80"/>
    <w:rsid w:val="00D657BC"/>
    <w:rsid w:val="00D6587E"/>
    <w:rsid w:val="00D66C97"/>
    <w:rsid w:val="00D66FF9"/>
    <w:rsid w:val="00D67946"/>
    <w:rsid w:val="00D71932"/>
    <w:rsid w:val="00D75E77"/>
    <w:rsid w:val="00D77BC7"/>
    <w:rsid w:val="00D80E20"/>
    <w:rsid w:val="00D80E50"/>
    <w:rsid w:val="00D82C60"/>
    <w:rsid w:val="00D84055"/>
    <w:rsid w:val="00D85B04"/>
    <w:rsid w:val="00D87092"/>
    <w:rsid w:val="00D91B0E"/>
    <w:rsid w:val="00D91BCF"/>
    <w:rsid w:val="00D91DAE"/>
    <w:rsid w:val="00D94DC8"/>
    <w:rsid w:val="00D96220"/>
    <w:rsid w:val="00D9679F"/>
    <w:rsid w:val="00DA01F7"/>
    <w:rsid w:val="00DA05B5"/>
    <w:rsid w:val="00DA137C"/>
    <w:rsid w:val="00DA2C53"/>
    <w:rsid w:val="00DA6E14"/>
    <w:rsid w:val="00DA7E10"/>
    <w:rsid w:val="00DB0D29"/>
    <w:rsid w:val="00DB0DDB"/>
    <w:rsid w:val="00DB3B5F"/>
    <w:rsid w:val="00DB3D0E"/>
    <w:rsid w:val="00DB53F2"/>
    <w:rsid w:val="00DB59D0"/>
    <w:rsid w:val="00DB77FF"/>
    <w:rsid w:val="00DC045D"/>
    <w:rsid w:val="00DC26E4"/>
    <w:rsid w:val="00DC3AB1"/>
    <w:rsid w:val="00DC45F2"/>
    <w:rsid w:val="00DC50A5"/>
    <w:rsid w:val="00DC712F"/>
    <w:rsid w:val="00DD0A9C"/>
    <w:rsid w:val="00DD44BE"/>
    <w:rsid w:val="00DD4EF1"/>
    <w:rsid w:val="00DE13BC"/>
    <w:rsid w:val="00DE475C"/>
    <w:rsid w:val="00DE4A30"/>
    <w:rsid w:val="00DE6ADC"/>
    <w:rsid w:val="00DF241B"/>
    <w:rsid w:val="00DF3FD1"/>
    <w:rsid w:val="00DF4357"/>
    <w:rsid w:val="00DF5ABE"/>
    <w:rsid w:val="00DF6056"/>
    <w:rsid w:val="00DF6355"/>
    <w:rsid w:val="00DF6545"/>
    <w:rsid w:val="00DF6EF5"/>
    <w:rsid w:val="00DF796B"/>
    <w:rsid w:val="00E0095D"/>
    <w:rsid w:val="00E02C00"/>
    <w:rsid w:val="00E058AE"/>
    <w:rsid w:val="00E06227"/>
    <w:rsid w:val="00E06FE0"/>
    <w:rsid w:val="00E10902"/>
    <w:rsid w:val="00E11036"/>
    <w:rsid w:val="00E11F0E"/>
    <w:rsid w:val="00E11FCE"/>
    <w:rsid w:val="00E15A16"/>
    <w:rsid w:val="00E16E78"/>
    <w:rsid w:val="00E21D58"/>
    <w:rsid w:val="00E2259A"/>
    <w:rsid w:val="00E232AE"/>
    <w:rsid w:val="00E269F4"/>
    <w:rsid w:val="00E3074F"/>
    <w:rsid w:val="00E31264"/>
    <w:rsid w:val="00E323EA"/>
    <w:rsid w:val="00E35383"/>
    <w:rsid w:val="00E35805"/>
    <w:rsid w:val="00E36B8B"/>
    <w:rsid w:val="00E37035"/>
    <w:rsid w:val="00E40146"/>
    <w:rsid w:val="00E4190A"/>
    <w:rsid w:val="00E427A0"/>
    <w:rsid w:val="00E42B66"/>
    <w:rsid w:val="00E43BB1"/>
    <w:rsid w:val="00E528AE"/>
    <w:rsid w:val="00E53BDA"/>
    <w:rsid w:val="00E54C64"/>
    <w:rsid w:val="00E57547"/>
    <w:rsid w:val="00E60D97"/>
    <w:rsid w:val="00E64809"/>
    <w:rsid w:val="00E70BD4"/>
    <w:rsid w:val="00E70CA0"/>
    <w:rsid w:val="00E723B5"/>
    <w:rsid w:val="00E73BA7"/>
    <w:rsid w:val="00E744DC"/>
    <w:rsid w:val="00E74CAB"/>
    <w:rsid w:val="00E76F95"/>
    <w:rsid w:val="00E80260"/>
    <w:rsid w:val="00E810D9"/>
    <w:rsid w:val="00E81F04"/>
    <w:rsid w:val="00E844C3"/>
    <w:rsid w:val="00E84E0C"/>
    <w:rsid w:val="00E8707F"/>
    <w:rsid w:val="00E9036F"/>
    <w:rsid w:val="00E9063E"/>
    <w:rsid w:val="00E93178"/>
    <w:rsid w:val="00E941EF"/>
    <w:rsid w:val="00E974EF"/>
    <w:rsid w:val="00E979CF"/>
    <w:rsid w:val="00EA008A"/>
    <w:rsid w:val="00EA21DE"/>
    <w:rsid w:val="00EA2816"/>
    <w:rsid w:val="00EA3F32"/>
    <w:rsid w:val="00EA449D"/>
    <w:rsid w:val="00EA4F77"/>
    <w:rsid w:val="00EA5527"/>
    <w:rsid w:val="00EA6128"/>
    <w:rsid w:val="00EB17E2"/>
    <w:rsid w:val="00EB5B7B"/>
    <w:rsid w:val="00EC1044"/>
    <w:rsid w:val="00EC5712"/>
    <w:rsid w:val="00ED06E2"/>
    <w:rsid w:val="00ED0A03"/>
    <w:rsid w:val="00ED2DAF"/>
    <w:rsid w:val="00ED79F4"/>
    <w:rsid w:val="00ED7FD6"/>
    <w:rsid w:val="00EE0F20"/>
    <w:rsid w:val="00EE2B72"/>
    <w:rsid w:val="00EE2F1E"/>
    <w:rsid w:val="00EE31BD"/>
    <w:rsid w:val="00EE6972"/>
    <w:rsid w:val="00EF4D5E"/>
    <w:rsid w:val="00EF7CB5"/>
    <w:rsid w:val="00F075E4"/>
    <w:rsid w:val="00F1108D"/>
    <w:rsid w:val="00F129B7"/>
    <w:rsid w:val="00F157BB"/>
    <w:rsid w:val="00F168E5"/>
    <w:rsid w:val="00F174F6"/>
    <w:rsid w:val="00F2023A"/>
    <w:rsid w:val="00F206D7"/>
    <w:rsid w:val="00F21525"/>
    <w:rsid w:val="00F2311F"/>
    <w:rsid w:val="00F24180"/>
    <w:rsid w:val="00F25876"/>
    <w:rsid w:val="00F25BFA"/>
    <w:rsid w:val="00F3204F"/>
    <w:rsid w:val="00F3276F"/>
    <w:rsid w:val="00F36295"/>
    <w:rsid w:val="00F40DAD"/>
    <w:rsid w:val="00F42E78"/>
    <w:rsid w:val="00F50118"/>
    <w:rsid w:val="00F504C6"/>
    <w:rsid w:val="00F513A1"/>
    <w:rsid w:val="00F51E01"/>
    <w:rsid w:val="00F574D9"/>
    <w:rsid w:val="00F60158"/>
    <w:rsid w:val="00F61DCD"/>
    <w:rsid w:val="00F62E5F"/>
    <w:rsid w:val="00F66EE2"/>
    <w:rsid w:val="00F670FC"/>
    <w:rsid w:val="00F75D84"/>
    <w:rsid w:val="00F7621B"/>
    <w:rsid w:val="00F762DC"/>
    <w:rsid w:val="00F76E8F"/>
    <w:rsid w:val="00F77D6C"/>
    <w:rsid w:val="00F80609"/>
    <w:rsid w:val="00F819D1"/>
    <w:rsid w:val="00F907B4"/>
    <w:rsid w:val="00F91C91"/>
    <w:rsid w:val="00F92C31"/>
    <w:rsid w:val="00F934C2"/>
    <w:rsid w:val="00F937C6"/>
    <w:rsid w:val="00F946A5"/>
    <w:rsid w:val="00F97F11"/>
    <w:rsid w:val="00FA025A"/>
    <w:rsid w:val="00FA248F"/>
    <w:rsid w:val="00FA3D12"/>
    <w:rsid w:val="00FA652E"/>
    <w:rsid w:val="00FA7E0D"/>
    <w:rsid w:val="00FB159D"/>
    <w:rsid w:val="00FB2A43"/>
    <w:rsid w:val="00FB3699"/>
    <w:rsid w:val="00FB5DE4"/>
    <w:rsid w:val="00FC227B"/>
    <w:rsid w:val="00FC2F3C"/>
    <w:rsid w:val="00FC56EF"/>
    <w:rsid w:val="00FC6422"/>
    <w:rsid w:val="00FC6BBE"/>
    <w:rsid w:val="00FD11F4"/>
    <w:rsid w:val="00FD1E9F"/>
    <w:rsid w:val="00FD30FF"/>
    <w:rsid w:val="00FD68C7"/>
    <w:rsid w:val="00FD791C"/>
    <w:rsid w:val="00FE1B7C"/>
    <w:rsid w:val="00FE2478"/>
    <w:rsid w:val="00FF0697"/>
    <w:rsid w:val="00FF154F"/>
    <w:rsid w:val="00FF168D"/>
    <w:rsid w:val="00FF2303"/>
    <w:rsid w:val="00FF3608"/>
    <w:rsid w:val="00FF511F"/>
    <w:rsid w:val="00FF6C8C"/>
    <w:rsid w:val="55457AA1"/>
    <w:rsid w:val="6A7A68D2"/>
    <w:rsid w:val="6BCD46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uiPriority w:val="99"/>
    <w:pPr>
      <w:ind w:left="100" w:leftChars="2500"/>
    </w:pPr>
  </w:style>
  <w:style w:type="paragraph" w:styleId="3">
    <w:name w:val="Body Text Indent 2"/>
    <w:basedOn w:val="1"/>
    <w:link w:val="13"/>
    <w:uiPriority w:val="99"/>
    <w:pPr>
      <w:spacing w:line="660" w:lineRule="exact"/>
      <w:ind w:right="1249" w:firstLine="630" w:firstLineChars="210"/>
    </w:pPr>
    <w:rPr>
      <w:rFonts w:ascii="宋体" w:hAnsi="宋体"/>
      <w:sz w:val="30"/>
    </w:rPr>
  </w:style>
  <w:style w:type="paragraph" w:styleId="4">
    <w:name w:val="Balloon Text"/>
    <w:basedOn w:val="1"/>
    <w:link w:val="18"/>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2"/>
    <w:qFormat/>
    <w:uiPriority w:val="99"/>
    <w:pPr>
      <w:spacing w:after="120"/>
      <w:ind w:left="420" w:leftChars="200"/>
    </w:pPr>
    <w:rPr>
      <w:sz w:val="16"/>
    </w:r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正文文本缩进 3 Char"/>
    <w:basedOn w:val="8"/>
    <w:link w:val="7"/>
    <w:semiHidden/>
    <w:locked/>
    <w:uiPriority w:val="99"/>
    <w:rPr>
      <w:rFonts w:cs="Times New Roman"/>
      <w:sz w:val="16"/>
      <w:szCs w:val="16"/>
    </w:rPr>
  </w:style>
  <w:style w:type="character" w:customStyle="1" w:styleId="13">
    <w:name w:val="正文文本缩进 2 Char"/>
    <w:basedOn w:val="8"/>
    <w:link w:val="3"/>
    <w:semiHidden/>
    <w:locked/>
    <w:uiPriority w:val="99"/>
    <w:rPr>
      <w:rFonts w:cs="Times New Roman"/>
      <w:sz w:val="20"/>
      <w:szCs w:val="20"/>
    </w:rPr>
  </w:style>
  <w:style w:type="paragraph" w:customStyle="1" w:styleId="14">
    <w:name w:val="默认段落字体 Para Char Char Char1 Char"/>
    <w:basedOn w:val="1"/>
    <w:qFormat/>
    <w:uiPriority w:val="99"/>
    <w:rPr>
      <w:rFonts w:ascii="Tahoma" w:hAnsi="Tahoma"/>
      <w:sz w:val="24"/>
    </w:rPr>
  </w:style>
  <w:style w:type="character" w:customStyle="1" w:styleId="15">
    <w:name w:val="页脚 Char"/>
    <w:basedOn w:val="8"/>
    <w:link w:val="5"/>
    <w:semiHidden/>
    <w:qFormat/>
    <w:locked/>
    <w:uiPriority w:val="99"/>
    <w:rPr>
      <w:rFonts w:cs="Times New Roman"/>
      <w:sz w:val="18"/>
      <w:szCs w:val="18"/>
    </w:rPr>
  </w:style>
  <w:style w:type="character" w:customStyle="1" w:styleId="16">
    <w:name w:val="页眉 Char"/>
    <w:basedOn w:val="8"/>
    <w:link w:val="6"/>
    <w:semiHidden/>
    <w:qFormat/>
    <w:locked/>
    <w:uiPriority w:val="99"/>
    <w:rPr>
      <w:rFonts w:cs="Times New Roman"/>
      <w:sz w:val="18"/>
      <w:szCs w:val="18"/>
    </w:rPr>
  </w:style>
  <w:style w:type="paragraph" w:customStyle="1" w:styleId="17">
    <w:name w:val="Char"/>
    <w:basedOn w:val="1"/>
    <w:qFormat/>
    <w:uiPriority w:val="99"/>
    <w:rPr>
      <w:rFonts w:ascii="Tahoma" w:hAnsi="Tahoma"/>
      <w:sz w:val="24"/>
    </w:rPr>
  </w:style>
  <w:style w:type="character" w:customStyle="1" w:styleId="18">
    <w:name w:val="批注框文本 Char"/>
    <w:basedOn w:val="8"/>
    <w:link w:val="4"/>
    <w:semiHidden/>
    <w:qFormat/>
    <w:locked/>
    <w:uiPriority w:val="99"/>
    <w:rPr>
      <w:rFonts w:cs="Times New Roman"/>
      <w:sz w:val="2"/>
    </w:rPr>
  </w:style>
  <w:style w:type="paragraph" w:customStyle="1" w:styleId="19">
    <w:name w:val="Heading 11"/>
    <w:basedOn w:val="1"/>
    <w:qFormat/>
    <w:uiPriority w:val="99"/>
    <w:pPr>
      <w:jc w:val="left"/>
      <w:outlineLvl w:val="1"/>
    </w:pPr>
    <w:rPr>
      <w:rFonts w:ascii="Arial Unicode MS" w:hAnsi="Arial Unicode MS"/>
      <w:kern w:val="0"/>
      <w:sz w:val="42"/>
      <w:szCs w:val="42"/>
      <w:lang w:eastAsia="en-US"/>
    </w:rPr>
  </w:style>
  <w:style w:type="character" w:customStyle="1" w:styleId="20">
    <w:name w:val="日期 Char"/>
    <w:basedOn w:val="8"/>
    <w:link w:val="2"/>
    <w:qFormat/>
    <w:locked/>
    <w:uiPriority w:val="99"/>
    <w:rPr>
      <w:rFonts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12315</Company>
  <Pages>4</Pages>
  <Words>289</Words>
  <Characters>1649</Characters>
  <Lines>13</Lines>
  <Paragraphs>3</Paragraphs>
  <TotalTime>4</TotalTime>
  <ScaleCrop>false</ScaleCrop>
  <LinksUpToDate>false</LinksUpToDate>
  <CharactersWithSpaces>1935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2023-01-13T08:17:00Z</dcterms:created>
  <dc:creator>曾云晖</dc:creator>
  <cp:lastModifiedBy>PC</cp:lastModifiedBy>
  <cp:lastPrinted>2022-08-01T00:42:00Z</cp:lastPrinted>
  <dcterms:modified xsi:type="dcterms:W3CDTF">2023-02-01T02:18:35Z</dcterms:modified>
  <dc:title>惠安县工商行政管理局行政处罚决定书草拟稿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