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olor w:val="000000"/>
          <w:spacing w:val="20"/>
          <w:w w:val="105"/>
          <w:sz w:val="48"/>
          <w:szCs w:val="48"/>
        </w:rPr>
      </w:pPr>
      <w:r>
        <w:rPr>
          <w:rFonts w:hint="eastAsia" w:ascii="黑体" w:hAnsi="宋体" w:eastAsia="黑体"/>
          <w:spacing w:val="20"/>
          <w:w w:val="105"/>
          <w:sz w:val="52"/>
          <w:szCs w:val="52"/>
        </w:rPr>
        <w:t>泉州台商投资区2021年</w:t>
      </w:r>
      <w:r>
        <w:rPr>
          <w:rFonts w:hint="eastAsia" w:ascii="黑体" w:hAnsi="宋体" w:eastAsia="黑体"/>
          <w:color w:val="000000"/>
          <w:spacing w:val="20"/>
          <w:w w:val="105"/>
          <w:sz w:val="48"/>
          <w:szCs w:val="48"/>
        </w:rPr>
        <w:t>产品质量监督</w:t>
      </w:r>
    </w:p>
    <w:p>
      <w:pPr>
        <w:jc w:val="center"/>
        <w:rPr>
          <w:rFonts w:ascii="黑体" w:hAnsi="宋体" w:eastAsia="黑体"/>
          <w:color w:val="000000"/>
          <w:spacing w:val="20"/>
          <w:w w:val="105"/>
          <w:sz w:val="48"/>
        </w:rPr>
      </w:pPr>
      <w:bookmarkStart w:id="0" w:name="_GoBack"/>
      <w:bookmarkEnd w:id="0"/>
      <w:r>
        <w:rPr>
          <w:rFonts w:hint="eastAsia" w:ascii="黑体" w:hAnsi="宋体" w:eastAsia="黑体"/>
          <w:color w:val="000000"/>
          <w:spacing w:val="20"/>
          <w:w w:val="105"/>
          <w:sz w:val="48"/>
          <w:szCs w:val="48"/>
        </w:rPr>
        <w:t>抽查实施细则</w:t>
      </w:r>
    </w:p>
    <w:p>
      <w:pPr>
        <w:rPr>
          <w:color w:val="000000"/>
        </w:rPr>
      </w:pPr>
      <w:r>
        <w:rPr>
          <w:b/>
          <w:color w:val="000000"/>
        </w:rPr>
        <w:pict>
          <v:line id="直线 3" o:spid="_x0000_s1026" o:spt="20" style="position:absolute;left:0pt;margin-left:10.5pt;margin-top:3.6pt;height:0pt;width:441pt;z-index:251660288;mso-width-relative:page;mso-height-relative:page;" stroked="t" coordsize="21600,21600" o:gfxdata="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cvv40wAAAAYB&#10;AAAPAAAAAAAAAAEAIAAAACIAAABkcnMvZG93bnJldi54bWxQSwECFAAUAAAACACHTuJArpw3lOcB&#10;AADcAwAADgAAAAAAAAABACAAAAAiAQAAZHJzL2Uyb0RvYy54bWxQSwUGAAAAAAYABgBZAQAAewUA&#10;AAAA&#10;">
            <v:path arrowok="t"/>
            <v:fill focussize="0,0"/>
            <v:stroke weight="1pt" color="#800008"/>
            <v:imagedata o:title=""/>
            <o:lock v:ext="edit"/>
          </v:line>
        </w:pict>
      </w:r>
      <w:r>
        <w:rPr>
          <w:rFonts w:hint="eastAsia" w:ascii="宋体" w:hAnsi="宋体"/>
          <w:b/>
          <w:color w:val="000000"/>
        </w:rPr>
        <w:t xml:space="preserve"> </w:t>
      </w:r>
    </w:p>
    <w:p>
      <w:pPr>
        <w:spacing w:line="5400" w:lineRule="exact"/>
        <w:jc w:val="center"/>
        <w:rPr>
          <w:rFonts w:ascii="黑体" w:hAnsi="宋体" w:eastAsia="黑体"/>
          <w:color w:val="000000"/>
          <w:sz w:val="48"/>
          <w:szCs w:val="48"/>
        </w:rPr>
      </w:pPr>
      <w:r>
        <w:rPr>
          <w:rFonts w:hint="eastAsia" w:ascii="黑体" w:hAnsi="宋体" w:eastAsia="黑体"/>
          <w:color w:val="000000"/>
          <w:sz w:val="48"/>
          <w:szCs w:val="48"/>
        </w:rPr>
        <w:t>防火门</w:t>
      </w: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r>
        <w:rPr>
          <w:rFonts w:eastAsia="Times New Roman"/>
          <w:color w:val="000000"/>
          <w:u w:val="single"/>
        </w:rPr>
        <w:pict>
          <v:line id="直线 4" o:spid="_x0000_s2051" o:spt="20" style="position:absolute;left:0pt;margin-left:0pt;margin-top:30.15pt;height:0pt;width:450pt;z-index:251661312;mso-width-relative:page;mso-height-relative:page;" stroked="t" coordsize="21600,21600" o:gfxdata="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YOlxfTAAAA&#10;BgEAAA8AAAAAAAAAAQAgAAAAIgAAAGRycy9kb3ducmV2LnhtbFBLAQIUABQAAAAIAIdO4kB8zdCT&#10;6QEAANwDAAAOAAAAAAAAAAEAIAAAACIBAABkcnMvZTJvRG9jLnhtbFBLBQYAAAAABgAGAFkBAAB9&#10;BQAAAAA=&#10;">
            <v:path arrowok="t"/>
            <v:fill focussize="0,0"/>
            <v:stroke weight="1pt" color="#800008"/>
            <v:imagedata o:title=""/>
            <o:lock v:ext="edit"/>
          </v:line>
        </w:pict>
      </w:r>
    </w:p>
    <w:p>
      <w:pPr>
        <w:rPr>
          <w:rFonts w:ascii="黑体" w:hAnsi="宋体" w:eastAsia="黑体"/>
          <w:color w:val="000000"/>
          <w:w w:val="148"/>
          <w:sz w:val="36"/>
        </w:rPr>
      </w:pPr>
    </w:p>
    <w:p>
      <w:pPr>
        <w:pStyle w:val="3"/>
        <w:jc w:val="center"/>
        <w:rPr>
          <w:rFonts w:hAnsi="宋体"/>
          <w:b/>
          <w:color w:val="000000"/>
          <w:spacing w:val="-14"/>
          <w:sz w:val="36"/>
        </w:rPr>
      </w:pPr>
      <w:r>
        <w:rPr>
          <w:rFonts w:hint="eastAsia" w:hAnsi="宋体"/>
          <w:b/>
          <w:color w:val="000000"/>
          <w:spacing w:val="-14"/>
          <w:sz w:val="36"/>
        </w:rPr>
        <w:t>泉州台商投资区2021年</w:t>
      </w:r>
    </w:p>
    <w:p>
      <w:pPr>
        <w:pStyle w:val="3"/>
        <w:jc w:val="center"/>
        <w:rPr>
          <w:rFonts w:ascii="黑体" w:hAnsi="黑体" w:eastAsia="黑体"/>
          <w:b/>
          <w:color w:val="000000"/>
          <w:sz w:val="36"/>
        </w:rPr>
      </w:pPr>
      <w:r>
        <w:rPr>
          <w:rFonts w:hint="eastAsia" w:hAnsi="宋体"/>
          <w:b/>
          <w:color w:val="000000"/>
          <w:spacing w:val="-14"/>
          <w:sz w:val="36"/>
        </w:rPr>
        <w:t>防火门产品质量监督抽查实施细则</w:t>
      </w:r>
    </w:p>
    <w:p>
      <w:pPr>
        <w:wordWrap w:val="0"/>
        <w:spacing w:before="240"/>
        <w:ind w:right="280"/>
        <w:jc w:val="right"/>
        <w:rPr>
          <w:rFonts w:ascii="黑体" w:hAnsi="宋体" w:eastAsia="黑体"/>
          <w:sz w:val="24"/>
          <w:szCs w:val="24"/>
        </w:rPr>
      </w:pPr>
    </w:p>
    <w:p>
      <w:pPr>
        <w:pStyle w:val="3"/>
        <w:wordWrap w:val="0"/>
        <w:snapToGrid w:val="0"/>
        <w:spacing w:line="300" w:lineRule="auto"/>
        <w:jc w:val="right"/>
        <w:rPr>
          <w:rFonts w:hAnsi="宋体" w:eastAsia="Times New Roman"/>
          <w:color w:val="000000"/>
          <w:sz w:val="24"/>
          <w:u w:val="single"/>
        </w:rPr>
      </w:pPr>
      <w:r>
        <w:rPr>
          <w:rFonts w:hAnsi="宋体" w:eastAsia="Times New Roman"/>
          <w:color w:val="000000"/>
        </w:rPr>
        <w:pict>
          <v:shape id="自选图形 2" o:spid="_x0000_s2050" o:spt="32" type="#_x0000_t32" style="position:absolute;left:0pt;margin-left:-10.5pt;margin-top:7.8pt;height:0pt;width:467.25pt;z-index:251659264;mso-width-relative:page;mso-height-relative:page;" filled="f" coordsize="21600,21600" o:gfxdata="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2hNX9YAAAAJAQAADwAAAAAAAAABACAAAAAiAAAAZHJzL2Rvd25yZXYueG1sUEsBAhQA&#10;FAAAAAgAh07iQP+HyjX0AQAA4wMAAA4AAAAAAAAAAQAgAAAAJQEAAGRycy9lMm9Eb2MueG1sUEsF&#10;BgAAAAAGAAYAWQEAAIsFAAAAAA==&#10;">
            <v:path arrowok="t"/>
            <v:fill on="f" focussize="0,0"/>
            <v:stroke/>
            <v:imagedata o:title=""/>
            <o:lock v:ext="edit"/>
          </v:shape>
        </w:pict>
      </w:r>
    </w:p>
    <w:p>
      <w:pPr>
        <w:pStyle w:val="3"/>
        <w:snapToGrid w:val="0"/>
        <w:spacing w:line="360" w:lineRule="auto"/>
        <w:rPr>
          <w:rFonts w:ascii="黑体" w:hAnsi="黑体" w:eastAsia="黑体"/>
          <w:b/>
          <w:color w:val="000000"/>
        </w:rPr>
      </w:pPr>
      <w:r>
        <w:rPr>
          <w:rFonts w:hint="eastAsia" w:ascii="黑体" w:hAnsi="黑体" w:eastAsia="黑体"/>
          <w:b/>
          <w:color w:val="000000"/>
        </w:rPr>
        <w:t>1.适用范围</w:t>
      </w:r>
    </w:p>
    <w:p>
      <w:pPr>
        <w:snapToGrid w:val="0"/>
        <w:spacing w:line="360" w:lineRule="auto"/>
        <w:ind w:firstLine="403" w:firstLineChars="192"/>
        <w:rPr>
          <w:rFonts w:ascii="仿宋_GB2312"/>
          <w:color w:val="000000"/>
        </w:rPr>
      </w:pPr>
      <w:r>
        <w:rPr>
          <w:rFonts w:hint="eastAsia" w:ascii="仿宋_GB2312"/>
          <w:color w:val="000000"/>
        </w:rPr>
        <w:t>本实施细则适用于防火门产品监督抽查，内容包括适用范围、产品分类、术语与定义、企业规模划分、检验依据、抽样要求、检验要求、判定原则、异议处理原则及附则。</w:t>
      </w:r>
    </w:p>
    <w:p>
      <w:pPr>
        <w:snapToGrid w:val="0"/>
        <w:spacing w:line="360" w:lineRule="auto"/>
        <w:ind w:firstLine="345" w:firstLineChars="192"/>
        <w:rPr>
          <w:rFonts w:ascii="宋体" w:hAnsi="宋体"/>
          <w:sz w:val="18"/>
          <w:szCs w:val="18"/>
        </w:rPr>
      </w:pPr>
      <w:r>
        <w:rPr>
          <w:rFonts w:hint="eastAsia" w:ascii="宋体" w:hAnsi="宋体"/>
          <w:sz w:val="18"/>
          <w:szCs w:val="18"/>
        </w:rPr>
        <w:t>注：针对特殊情况的专项抽查可参照执行。</w:t>
      </w:r>
    </w:p>
    <w:p>
      <w:pPr>
        <w:pStyle w:val="3"/>
        <w:snapToGrid w:val="0"/>
        <w:spacing w:line="360" w:lineRule="auto"/>
        <w:rPr>
          <w:rFonts w:ascii="黑体" w:hAnsi="黑体" w:eastAsia="黑体"/>
          <w:b/>
          <w:color w:val="000000"/>
        </w:rPr>
      </w:pPr>
      <w:r>
        <w:rPr>
          <w:rFonts w:hint="eastAsia" w:ascii="黑体" w:hAnsi="黑体" w:eastAsia="黑体"/>
          <w:b/>
          <w:color w:val="000000"/>
        </w:rPr>
        <w:t>2.产品分类</w:t>
      </w:r>
    </w:p>
    <w:p>
      <w:pPr>
        <w:pStyle w:val="3"/>
        <w:snapToGrid w:val="0"/>
        <w:spacing w:line="360" w:lineRule="auto"/>
        <w:rPr>
          <w:rFonts w:ascii="仿宋_GB2312" w:hAnsi="黑体"/>
          <w:color w:val="000000"/>
          <w:szCs w:val="30"/>
        </w:rPr>
      </w:pPr>
      <w:r>
        <w:rPr>
          <w:rFonts w:hint="eastAsia" w:ascii="黑体" w:hAnsi="黑体"/>
          <w:b/>
          <w:color w:val="000000"/>
        </w:rPr>
        <w:t xml:space="preserve">    </w:t>
      </w:r>
      <w:r>
        <w:rPr>
          <w:rFonts w:hint="eastAsia" w:ascii="仿宋_GB2312" w:hAnsi="黑体"/>
          <w:color w:val="000000"/>
          <w:szCs w:val="30"/>
        </w:rPr>
        <w:t>防火门按材质分为钢质防火门、木质防火门、钢木质防火门、其他材质防火门，按门扇数量分为单扇防火门、双扇防火门、多扇防火门。</w:t>
      </w:r>
    </w:p>
    <w:p>
      <w:pPr>
        <w:pStyle w:val="3"/>
        <w:snapToGrid w:val="0"/>
        <w:spacing w:line="360" w:lineRule="auto"/>
        <w:rPr>
          <w:rFonts w:ascii="黑体" w:hAnsi="黑体" w:eastAsia="黑体"/>
          <w:b/>
          <w:color w:val="000000"/>
        </w:rPr>
      </w:pPr>
      <w:r>
        <w:rPr>
          <w:rFonts w:hint="eastAsia" w:ascii="黑体" w:hAnsi="黑体" w:eastAsia="黑体"/>
          <w:b/>
          <w:color w:val="000000"/>
        </w:rPr>
        <w:t>3.术语与定义</w:t>
      </w:r>
    </w:p>
    <w:p>
      <w:pPr>
        <w:snapToGrid w:val="0"/>
        <w:spacing w:line="360" w:lineRule="auto"/>
        <w:rPr>
          <w:rFonts w:ascii="仿宋_GB2312" w:hAnsi="宋体"/>
          <w:color w:val="000000"/>
        </w:rPr>
      </w:pPr>
      <w:r>
        <w:rPr>
          <w:rFonts w:hint="eastAsia" w:ascii="仿宋_GB2312" w:hAnsi="宋体"/>
          <w:color w:val="000000"/>
        </w:rPr>
        <w:t xml:space="preserve">    本细则未列出的术语和定义同相关引用标准。</w:t>
      </w:r>
    </w:p>
    <w:p>
      <w:pPr>
        <w:pStyle w:val="3"/>
        <w:snapToGrid w:val="0"/>
        <w:spacing w:line="360" w:lineRule="auto"/>
        <w:rPr>
          <w:rFonts w:ascii="黑体" w:hAnsi="黑体" w:eastAsia="黑体"/>
          <w:b/>
          <w:color w:val="000000"/>
        </w:rPr>
      </w:pPr>
      <w:r>
        <w:rPr>
          <w:rFonts w:hint="eastAsia" w:ascii="黑体" w:hAnsi="黑体" w:eastAsia="黑体"/>
          <w:b/>
          <w:color w:val="000000"/>
        </w:rPr>
        <w:t>4.企业规模划分</w:t>
      </w:r>
    </w:p>
    <w:p>
      <w:pPr>
        <w:snapToGrid w:val="0"/>
        <w:spacing w:line="360" w:lineRule="auto"/>
        <w:ind w:firstLine="403" w:firstLineChars="192"/>
        <w:rPr>
          <w:rFonts w:ascii="仿宋_GB2312" w:hAnsi="宋体"/>
          <w:color w:val="000000"/>
        </w:rPr>
      </w:pPr>
      <w:r>
        <w:rPr>
          <w:rFonts w:hint="eastAsia" w:ascii="仿宋_GB2312" w:hAnsi="宋体"/>
          <w:color w:val="000000"/>
        </w:rPr>
        <w:t>根据防火门产品行业的实际情况，生产企业规模以防火门产品年销售额为标准划分为大、中、小型企业，见表1。</w:t>
      </w:r>
    </w:p>
    <w:p>
      <w:pPr>
        <w:snapToGrid w:val="0"/>
        <w:spacing w:line="360" w:lineRule="auto"/>
        <w:ind w:firstLine="405" w:firstLineChars="192"/>
        <w:jc w:val="center"/>
        <w:rPr>
          <w:rFonts w:ascii="黑体" w:hAnsi="宋体" w:eastAsia="黑体"/>
          <w:b/>
          <w:color w:val="000000"/>
        </w:rPr>
      </w:pPr>
      <w:r>
        <w:rPr>
          <w:rFonts w:hint="eastAsia" w:ascii="黑体" w:hAnsi="宋体" w:eastAsia="黑体"/>
          <w:b/>
          <w:color w:val="000000"/>
        </w:rPr>
        <w:t>表1  企业规模划分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4"/>
        <w:gridCol w:w="1943"/>
        <w:gridCol w:w="2511"/>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874" w:type="dxa"/>
            <w:tcBorders>
              <w:top w:val="single" w:color="auto" w:sz="4" w:space="0"/>
              <w:left w:val="single" w:color="auto" w:sz="4" w:space="0"/>
              <w:bottom w:val="single" w:color="auto" w:sz="4" w:space="0"/>
              <w:right w:val="single" w:color="auto" w:sz="4" w:space="0"/>
            </w:tcBorders>
            <w:vAlign w:val="center"/>
          </w:tcPr>
          <w:p>
            <w:pPr>
              <w:snapToGrid w:val="0"/>
              <w:ind w:firstLine="181" w:firstLineChars="100"/>
              <w:jc w:val="center"/>
              <w:rPr>
                <w:rFonts w:ascii="黑体" w:hAnsi="宋体" w:eastAsia="黑体"/>
                <w:b/>
                <w:color w:val="000000"/>
                <w:sz w:val="18"/>
                <w:szCs w:val="18"/>
              </w:rPr>
            </w:pPr>
            <w:r>
              <w:rPr>
                <w:rFonts w:hint="eastAsia" w:ascii="黑体" w:hAnsi="宋体" w:eastAsia="黑体"/>
                <w:b/>
                <w:color w:val="000000"/>
                <w:sz w:val="18"/>
                <w:szCs w:val="18"/>
              </w:rPr>
              <w:t>企业规模</w:t>
            </w:r>
          </w:p>
        </w:tc>
        <w:tc>
          <w:tcPr>
            <w:tcW w:w="19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b/>
                <w:color w:val="000000"/>
                <w:sz w:val="18"/>
                <w:szCs w:val="18"/>
              </w:rPr>
            </w:pPr>
            <w:r>
              <w:rPr>
                <w:rFonts w:hint="eastAsia" w:ascii="黑体" w:hAnsi="宋体" w:eastAsia="黑体"/>
                <w:b/>
                <w:color w:val="000000"/>
                <w:sz w:val="18"/>
                <w:szCs w:val="18"/>
              </w:rPr>
              <w:t>大型企业</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b/>
                <w:color w:val="000000"/>
                <w:sz w:val="18"/>
                <w:szCs w:val="18"/>
              </w:rPr>
            </w:pPr>
            <w:r>
              <w:rPr>
                <w:rFonts w:hint="eastAsia" w:ascii="黑体" w:hAnsi="宋体" w:eastAsia="黑体"/>
                <w:b/>
                <w:color w:val="000000"/>
                <w:sz w:val="18"/>
                <w:szCs w:val="18"/>
              </w:rPr>
              <w:t>中型企业</w:t>
            </w:r>
          </w:p>
        </w:tc>
        <w:tc>
          <w:tcPr>
            <w:tcW w:w="13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b/>
                <w:color w:val="000000"/>
                <w:sz w:val="18"/>
                <w:szCs w:val="18"/>
              </w:rPr>
            </w:pPr>
            <w:r>
              <w:rPr>
                <w:rFonts w:hint="eastAsia" w:ascii="黑体" w:hAnsi="宋体" w:eastAsia="黑体"/>
                <w:b/>
                <w:color w:val="000000"/>
                <w:sz w:val="18"/>
                <w:szCs w:val="18"/>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74" w:type="dxa"/>
            <w:tcBorders>
              <w:top w:val="single" w:color="auto" w:sz="4" w:space="0"/>
              <w:left w:val="single" w:color="auto" w:sz="4" w:space="0"/>
              <w:bottom w:val="single" w:color="auto" w:sz="4" w:space="0"/>
              <w:right w:val="single" w:color="auto" w:sz="4" w:space="0"/>
            </w:tcBorders>
            <w:vAlign w:val="center"/>
          </w:tcPr>
          <w:p>
            <w:pPr>
              <w:pStyle w:val="3"/>
              <w:snapToGrid w:val="0"/>
              <w:jc w:val="center"/>
              <w:rPr>
                <w:rFonts w:hAnsi="宋体"/>
                <w:color w:val="000000"/>
                <w:sz w:val="18"/>
                <w:szCs w:val="18"/>
              </w:rPr>
            </w:pPr>
            <w:r>
              <w:rPr>
                <w:rFonts w:hint="eastAsia" w:hAnsi="宋体"/>
                <w:color w:val="000000"/>
                <w:sz w:val="18"/>
                <w:szCs w:val="18"/>
              </w:rPr>
              <w:t>销售额/万元</w:t>
            </w:r>
          </w:p>
        </w:tc>
        <w:tc>
          <w:tcPr>
            <w:tcW w:w="1943" w:type="dxa"/>
            <w:tcBorders>
              <w:top w:val="single" w:color="auto" w:sz="4" w:space="0"/>
              <w:left w:val="single" w:color="auto" w:sz="4" w:space="0"/>
              <w:bottom w:val="single" w:color="auto" w:sz="4" w:space="0"/>
              <w:right w:val="single" w:color="auto" w:sz="4" w:space="0"/>
            </w:tcBorders>
            <w:vAlign w:val="center"/>
          </w:tcPr>
          <w:p>
            <w:pPr>
              <w:pStyle w:val="3"/>
              <w:snapToGrid w:val="0"/>
              <w:jc w:val="center"/>
              <w:rPr>
                <w:rFonts w:hAnsi="宋体"/>
                <w:color w:val="000000"/>
                <w:sz w:val="18"/>
                <w:szCs w:val="18"/>
              </w:rPr>
            </w:pPr>
            <w:r>
              <w:rPr>
                <w:rFonts w:hint="eastAsia" w:hAnsi="宋体"/>
                <w:color w:val="000000"/>
                <w:sz w:val="18"/>
                <w:szCs w:val="18"/>
              </w:rPr>
              <w:t>＞10000</w:t>
            </w:r>
          </w:p>
        </w:tc>
        <w:tc>
          <w:tcPr>
            <w:tcW w:w="2511" w:type="dxa"/>
            <w:tcBorders>
              <w:top w:val="single" w:color="auto" w:sz="4" w:space="0"/>
              <w:left w:val="single" w:color="auto" w:sz="4" w:space="0"/>
              <w:bottom w:val="single" w:color="auto" w:sz="4" w:space="0"/>
              <w:right w:val="single" w:color="auto" w:sz="4" w:space="0"/>
            </w:tcBorders>
            <w:vAlign w:val="center"/>
          </w:tcPr>
          <w:p>
            <w:pPr>
              <w:pStyle w:val="3"/>
              <w:snapToGrid w:val="0"/>
              <w:jc w:val="center"/>
              <w:rPr>
                <w:rFonts w:hAnsi="宋体"/>
                <w:color w:val="000000"/>
                <w:sz w:val="18"/>
                <w:szCs w:val="18"/>
              </w:rPr>
            </w:pPr>
            <w:r>
              <w:rPr>
                <w:rFonts w:hint="eastAsia" w:hAnsi="宋体"/>
                <w:color w:val="000000"/>
                <w:sz w:val="18"/>
                <w:szCs w:val="18"/>
              </w:rPr>
              <w:t>≥3000且≤10000</w:t>
            </w:r>
          </w:p>
        </w:tc>
        <w:tc>
          <w:tcPr>
            <w:tcW w:w="1341" w:type="dxa"/>
            <w:tcBorders>
              <w:top w:val="single" w:color="auto" w:sz="4" w:space="0"/>
              <w:left w:val="single" w:color="auto" w:sz="4" w:space="0"/>
              <w:bottom w:val="single" w:color="auto" w:sz="4" w:space="0"/>
              <w:right w:val="single" w:color="auto" w:sz="4" w:space="0"/>
            </w:tcBorders>
            <w:vAlign w:val="center"/>
          </w:tcPr>
          <w:p>
            <w:pPr>
              <w:pStyle w:val="3"/>
              <w:snapToGrid w:val="0"/>
              <w:jc w:val="center"/>
              <w:rPr>
                <w:rFonts w:hAnsi="宋体"/>
                <w:color w:val="000000"/>
                <w:sz w:val="18"/>
                <w:szCs w:val="18"/>
              </w:rPr>
            </w:pPr>
            <w:r>
              <w:rPr>
                <w:rFonts w:hint="eastAsia" w:hAnsi="宋体"/>
                <w:color w:val="000000"/>
                <w:sz w:val="18"/>
                <w:szCs w:val="18"/>
              </w:rPr>
              <w:t>＜3000</w:t>
            </w:r>
          </w:p>
        </w:tc>
      </w:tr>
    </w:tbl>
    <w:p>
      <w:pPr>
        <w:snapToGrid w:val="0"/>
        <w:spacing w:line="360" w:lineRule="auto"/>
        <w:ind w:firstLine="358" w:firstLineChars="199"/>
        <w:rPr>
          <w:rFonts w:ascii="宋体"/>
          <w:i/>
          <w:szCs w:val="21"/>
        </w:rPr>
      </w:pPr>
      <w:r>
        <w:rPr>
          <w:rFonts w:hint="eastAsia" w:ascii="宋体" w:hAnsi="宋体"/>
          <w:sz w:val="18"/>
          <w:szCs w:val="18"/>
        </w:rPr>
        <w:t>备注：年销售额包括该类产品的内销和外销总额。</w:t>
      </w:r>
    </w:p>
    <w:p>
      <w:pPr>
        <w:pStyle w:val="3"/>
        <w:snapToGrid w:val="0"/>
        <w:spacing w:line="360" w:lineRule="auto"/>
        <w:rPr>
          <w:rFonts w:ascii="黑体" w:hAnsi="黑体" w:eastAsia="黑体"/>
          <w:b/>
          <w:color w:val="000000"/>
        </w:rPr>
      </w:pPr>
      <w:r>
        <w:rPr>
          <w:rFonts w:hint="eastAsia" w:ascii="黑体" w:hAnsi="黑体" w:eastAsia="黑体"/>
          <w:b/>
          <w:color w:val="000000"/>
        </w:rPr>
        <w:t>5.检验依据</w:t>
      </w:r>
    </w:p>
    <w:p>
      <w:pPr>
        <w:snapToGrid w:val="0"/>
        <w:spacing w:line="360" w:lineRule="auto"/>
        <w:ind w:firstLine="403" w:firstLineChars="192"/>
        <w:rPr>
          <w:rFonts w:ascii="仿宋_GB2312"/>
          <w:color w:val="000000"/>
        </w:rPr>
      </w:pPr>
      <w:r>
        <w:rPr>
          <w:rFonts w:hint="eastAsia" w:ascii="仿宋_GB2312"/>
          <w:color w:val="000000"/>
        </w:rPr>
        <w:t>凡是注日期的文件，其随后所有的修改单（不包括勘误的内容）或修订版不适用于本规范。凡是不注日期的文件，其最新版本适用于本规范。</w:t>
      </w:r>
    </w:p>
    <w:p>
      <w:pPr>
        <w:snapToGrid w:val="0"/>
        <w:spacing w:line="360" w:lineRule="auto"/>
        <w:ind w:firstLine="403" w:firstLineChars="192"/>
        <w:rPr>
          <w:rFonts w:ascii="仿宋_GB2312"/>
          <w:color w:val="000000"/>
        </w:rPr>
      </w:pPr>
      <w:r>
        <w:rPr>
          <w:rFonts w:hint="eastAsia" w:ascii="宋体" w:hAnsi="宋体"/>
          <w:color w:val="000000"/>
        </w:rPr>
        <w:t>GB 12955-2008</w:t>
      </w:r>
      <w:r>
        <w:rPr>
          <w:rFonts w:hint="eastAsia" w:ascii="仿宋_GB2312"/>
          <w:color w:val="000000"/>
        </w:rPr>
        <w:t xml:space="preserve"> 防火门</w:t>
      </w:r>
    </w:p>
    <w:p>
      <w:pPr>
        <w:snapToGrid w:val="0"/>
        <w:spacing w:line="360" w:lineRule="auto"/>
        <w:ind w:firstLine="403" w:firstLineChars="192"/>
        <w:rPr>
          <w:rFonts w:ascii="仿宋_GB2312"/>
          <w:color w:val="000000"/>
        </w:rPr>
      </w:pPr>
      <w:r>
        <w:rPr>
          <w:rFonts w:hint="eastAsia" w:ascii="仿宋_GB2312"/>
          <w:color w:val="000000"/>
        </w:rPr>
        <w:t>相关的法律法规、部门规章和规定</w:t>
      </w:r>
    </w:p>
    <w:p>
      <w:pPr>
        <w:snapToGrid w:val="0"/>
        <w:spacing w:line="360" w:lineRule="auto"/>
        <w:ind w:firstLine="403" w:firstLineChars="192"/>
        <w:rPr>
          <w:rFonts w:ascii="仿宋_GB2312"/>
          <w:color w:val="000000"/>
        </w:rPr>
      </w:pPr>
      <w:r>
        <w:rPr>
          <w:rFonts w:hint="eastAsia" w:ascii="仿宋_GB2312"/>
          <w:color w:val="000000"/>
        </w:rPr>
        <w:t>经备案现行有效的企业标准及产品明示质量要求</w:t>
      </w:r>
    </w:p>
    <w:p>
      <w:pPr>
        <w:pStyle w:val="3"/>
        <w:snapToGrid w:val="0"/>
        <w:spacing w:line="360" w:lineRule="auto"/>
      </w:pPr>
      <w:r>
        <w:rPr>
          <w:rFonts w:hint="eastAsia" w:ascii="黑体" w:hAnsi="黑体" w:eastAsia="黑体"/>
          <w:b/>
          <w:color w:val="000000"/>
        </w:rPr>
        <w:t>6.抽样要求</w:t>
      </w:r>
    </w:p>
    <w:p>
      <w:pPr>
        <w:pStyle w:val="3"/>
        <w:adjustRightInd w:val="0"/>
        <w:snapToGrid w:val="0"/>
        <w:spacing w:line="360" w:lineRule="auto"/>
      </w:pPr>
      <w:r>
        <w:rPr>
          <w:rFonts w:hint="eastAsia" w:hAnsi="宋体"/>
          <w:szCs w:val="21"/>
        </w:rPr>
        <w:t>6.1</w:t>
      </w:r>
      <w:r>
        <w:rPr>
          <w:rFonts w:hint="eastAsia"/>
        </w:rPr>
        <w:t>抽样型号或规格</w:t>
      </w:r>
    </w:p>
    <w:p>
      <w:pPr>
        <w:snapToGrid w:val="0"/>
        <w:spacing w:line="360" w:lineRule="auto"/>
        <w:ind w:firstLine="420" w:firstLineChars="200"/>
        <w:rPr>
          <w:rFonts w:ascii="宋体" w:hAnsi="宋体"/>
          <w:szCs w:val="21"/>
        </w:rPr>
      </w:pPr>
      <w:r>
        <w:rPr>
          <w:rFonts w:hint="eastAsia"/>
        </w:rPr>
        <w:t>抽样样品应为同一型号（货号）规格、同一批次的产品。</w:t>
      </w:r>
    </w:p>
    <w:p>
      <w:pPr>
        <w:snapToGrid w:val="0"/>
        <w:spacing w:line="360" w:lineRule="auto"/>
        <w:rPr>
          <w:rFonts w:ascii="宋体" w:hAnsi="宋体"/>
          <w:szCs w:val="21"/>
        </w:rPr>
      </w:pPr>
      <w:r>
        <w:rPr>
          <w:rFonts w:hint="eastAsia" w:ascii="宋体" w:hAnsi="宋体"/>
          <w:szCs w:val="21"/>
        </w:rPr>
        <w:t>6.2抽样方法</w:t>
      </w:r>
    </w:p>
    <w:p>
      <w:pPr>
        <w:snapToGrid w:val="0"/>
        <w:spacing w:line="360" w:lineRule="auto"/>
        <w:ind w:firstLine="403" w:firstLineChars="192"/>
        <w:rPr>
          <w:rFonts w:ascii="宋体" w:hAnsi="宋体"/>
          <w:szCs w:val="21"/>
        </w:rPr>
      </w:pPr>
      <w:r>
        <w:rPr>
          <w:rFonts w:hint="eastAsia" w:ascii="宋体" w:hAnsi="宋体"/>
          <w:szCs w:val="21"/>
        </w:rPr>
        <w:t>抽查产品为被抽查企业的主导产品，即产量和销售量大的产品（特殊情况除外）。</w:t>
      </w:r>
    </w:p>
    <w:p>
      <w:pPr>
        <w:snapToGrid w:val="0"/>
        <w:spacing w:line="360" w:lineRule="auto"/>
        <w:ind w:firstLine="403" w:firstLineChars="192"/>
        <w:rPr>
          <w:rFonts w:ascii="宋体" w:hAnsi="宋体"/>
          <w:szCs w:val="21"/>
        </w:rPr>
      </w:pPr>
      <w:r>
        <w:rPr>
          <w:rFonts w:hint="eastAsia" w:ascii="宋体" w:hAnsi="宋体"/>
          <w:szCs w:val="21"/>
        </w:rPr>
        <w:t>在生产领域的成品库内或生产过程末端中采用简单随机抽样方法抽取经企业检验合格或以任何方式表明合格的近期生产的产品。在流通领域仓库或柜台内的待销售产品中采用简单随机抽样方法或全数抽样方法。</w:t>
      </w:r>
    </w:p>
    <w:p>
      <w:pPr>
        <w:snapToGrid w:val="0"/>
        <w:spacing w:line="360" w:lineRule="auto"/>
        <w:rPr>
          <w:rFonts w:ascii="宋体" w:hAnsi="宋体"/>
          <w:szCs w:val="21"/>
        </w:rPr>
      </w:pPr>
      <w:r>
        <w:rPr>
          <w:rFonts w:hint="eastAsia" w:ascii="宋体" w:hAnsi="宋体"/>
          <w:szCs w:val="21"/>
        </w:rPr>
        <w:t>6.3 抽样基数</w:t>
      </w:r>
    </w:p>
    <w:p>
      <w:pPr>
        <w:snapToGrid w:val="0"/>
        <w:spacing w:line="360" w:lineRule="auto"/>
        <w:ind w:firstLine="403" w:firstLineChars="192"/>
        <w:rPr>
          <w:rFonts w:ascii="宋体" w:hAnsi="宋体"/>
          <w:szCs w:val="21"/>
        </w:rPr>
      </w:pPr>
      <w:r>
        <w:rPr>
          <w:rFonts w:hint="eastAsia" w:ascii="仿宋_GB2312" w:hAnsi="宋体"/>
          <w:color w:val="000000"/>
        </w:rPr>
        <w:t>在生产领域、流通领域抽样时，抽样基数满足抽样数量即可。</w:t>
      </w:r>
    </w:p>
    <w:p>
      <w:pPr>
        <w:snapToGrid w:val="0"/>
        <w:spacing w:line="360" w:lineRule="auto"/>
        <w:rPr>
          <w:rFonts w:ascii="宋体" w:hAnsi="宋体"/>
          <w:szCs w:val="21"/>
        </w:rPr>
      </w:pPr>
      <w:r>
        <w:rPr>
          <w:rFonts w:hint="eastAsia" w:ascii="宋体" w:hAnsi="宋体"/>
          <w:szCs w:val="21"/>
        </w:rPr>
        <w:t>6.4抽样数量</w:t>
      </w:r>
    </w:p>
    <w:p>
      <w:pPr>
        <w:snapToGrid w:val="0"/>
        <w:spacing w:line="360" w:lineRule="auto"/>
        <w:ind w:firstLine="420" w:firstLineChars="200"/>
        <w:rPr>
          <w:rFonts w:ascii="仿宋_GB2312" w:hAnsi="宋体"/>
          <w:b/>
          <w:color w:val="000000"/>
        </w:rPr>
      </w:pPr>
      <w:r>
        <w:rPr>
          <w:rFonts w:hint="eastAsia" w:ascii="仿宋_GB2312" w:hAnsi="宋体"/>
          <w:color w:val="000000"/>
        </w:rPr>
        <w:t>抽样数为2樘，其中1樘为检验样品，另1樘为备用样品。</w:t>
      </w:r>
    </w:p>
    <w:p>
      <w:pPr>
        <w:snapToGrid w:val="0"/>
        <w:spacing w:line="360" w:lineRule="auto"/>
        <w:rPr>
          <w:rFonts w:ascii="宋体" w:hAnsi="宋体"/>
          <w:szCs w:val="21"/>
        </w:rPr>
      </w:pPr>
      <w:r>
        <w:rPr>
          <w:rFonts w:hint="eastAsia" w:ascii="宋体" w:hAnsi="宋体"/>
          <w:szCs w:val="21"/>
        </w:rPr>
        <w:t>6.5 样品处置</w:t>
      </w:r>
    </w:p>
    <w:p>
      <w:pPr>
        <w:snapToGrid w:val="0"/>
        <w:spacing w:line="360" w:lineRule="auto"/>
        <w:rPr>
          <w:rFonts w:ascii="宋体" w:hAnsi="宋体"/>
          <w:szCs w:val="21"/>
        </w:rPr>
      </w:pPr>
      <w:r>
        <w:rPr>
          <w:rFonts w:hint="eastAsia" w:ascii="宋体" w:hAnsi="宋体"/>
          <w:szCs w:val="21"/>
        </w:rPr>
        <w:t>6.5.1抽取的样品在抽样现场立即封样，应对检验样品和备用样品分别签封，并分别加贴标识。样品中产品合格证及使用说明等信息要保证完整。</w:t>
      </w:r>
    </w:p>
    <w:p>
      <w:pPr>
        <w:snapToGrid w:val="0"/>
        <w:spacing w:line="360" w:lineRule="auto"/>
        <w:rPr>
          <w:rFonts w:ascii="仿宋_GB2312" w:hAnsi="宋体"/>
          <w:color w:val="000000"/>
        </w:rPr>
      </w:pPr>
      <w:r>
        <w:rPr>
          <w:rFonts w:hint="eastAsia" w:ascii="宋体" w:hAnsi="宋体"/>
          <w:szCs w:val="21"/>
        </w:rPr>
        <w:t>6.5.2</w:t>
      </w:r>
      <w:r>
        <w:rPr>
          <w:rFonts w:hint="eastAsia" w:ascii="仿宋_GB2312" w:hAnsi="宋体"/>
          <w:color w:val="000000"/>
        </w:rPr>
        <w:t>抽样人员封样时，应当有防拆封措施，以保证样品的真实性，检验样品及备用样品应分别封样，并寄、送至指定的检验机构相关部门，或样品由抽样人员自行带回。检验机构应对寄、送达样品进行封样查验确认，并妥善保存样品。样品运送时应防止剧烈碰撞损坏样品。</w:t>
      </w:r>
    </w:p>
    <w:p>
      <w:pPr>
        <w:snapToGrid w:val="0"/>
        <w:spacing w:line="360" w:lineRule="auto"/>
        <w:ind w:firstLine="420" w:firstLineChars="200"/>
        <w:rPr>
          <w:rFonts w:ascii="仿宋_GB2312" w:hAnsi="宋体"/>
          <w:color w:val="000000"/>
        </w:rPr>
      </w:pPr>
      <w:r>
        <w:rPr>
          <w:rFonts w:hint="eastAsia" w:ascii="仿宋_GB2312" w:hAnsi="宋体"/>
          <w:color w:val="000000"/>
        </w:rPr>
        <w:t>检验样品到达指定的检验机构相关部门后，被抽查单位或企业应对样品完好性进行确认。</w:t>
      </w:r>
    </w:p>
    <w:p>
      <w:pPr>
        <w:snapToGrid w:val="0"/>
        <w:spacing w:line="360" w:lineRule="auto"/>
        <w:rPr>
          <w:rFonts w:ascii="宋体" w:hAnsi="宋体"/>
          <w:szCs w:val="21"/>
        </w:rPr>
      </w:pPr>
      <w:r>
        <w:rPr>
          <w:rFonts w:hint="eastAsia" w:ascii="宋体" w:hAnsi="宋体"/>
          <w:szCs w:val="21"/>
        </w:rPr>
        <w:t>6.5.3承检单位接收样品应有专人负责检查、记录样品的外观、状态、封条有无破损及其他可能对检测结果或者综合判定产生影响的情况，作影像记录，确认样品与抽样单的记录是否相符。</w:t>
      </w:r>
    </w:p>
    <w:p>
      <w:pPr>
        <w:snapToGrid w:val="0"/>
        <w:spacing w:line="360" w:lineRule="auto"/>
        <w:rPr>
          <w:rFonts w:ascii="宋体" w:hAnsi="宋体"/>
          <w:szCs w:val="21"/>
        </w:rPr>
      </w:pPr>
      <w:r>
        <w:rPr>
          <w:rFonts w:hint="eastAsia" w:ascii="宋体" w:hAnsi="宋体"/>
          <w:szCs w:val="21"/>
        </w:rPr>
        <w:t>6.5.4样品在运输、存储过程中以尽量保障样品拆封前的签封状态且运输途中应防止污损，不得受潮、雨淋和暴晒。</w:t>
      </w:r>
    </w:p>
    <w:p>
      <w:pPr>
        <w:snapToGrid w:val="0"/>
        <w:spacing w:line="360" w:lineRule="auto"/>
        <w:rPr>
          <w:rFonts w:ascii="宋体" w:hAnsi="宋体"/>
          <w:szCs w:val="21"/>
        </w:rPr>
      </w:pPr>
      <w:r>
        <w:rPr>
          <w:rFonts w:hint="eastAsia" w:ascii="宋体" w:hAnsi="宋体"/>
          <w:szCs w:val="21"/>
        </w:rPr>
        <w:t>6.6 抽样单</w:t>
      </w:r>
    </w:p>
    <w:p>
      <w:pPr>
        <w:snapToGrid w:val="0"/>
        <w:spacing w:line="360" w:lineRule="auto"/>
        <w:ind w:firstLine="403" w:firstLineChars="192"/>
        <w:rPr>
          <w:rFonts w:ascii="宋体" w:hAnsi="宋体"/>
          <w:szCs w:val="21"/>
        </w:rPr>
      </w:pPr>
      <w:r>
        <w:rPr>
          <w:rFonts w:hint="eastAsia" w:ascii="宋体" w:hAnsi="宋体"/>
          <w:szCs w:val="21"/>
        </w:rPr>
        <w:t>应按有关规定填写抽样单，并记录被抽查产品及企业相关信息。同时记录被抽查企业上一年度生产的消防接口产品的销售额，以万元计；若企业上一年度未生产，则记录本年度实际销售额，并加以注明。</w:t>
      </w:r>
    </w:p>
    <w:p>
      <w:pPr>
        <w:snapToGrid w:val="0"/>
        <w:spacing w:line="360" w:lineRule="auto"/>
        <w:ind w:firstLine="403" w:firstLineChars="192"/>
        <w:rPr>
          <w:rFonts w:ascii="宋体" w:hAnsi="宋体"/>
          <w:szCs w:val="21"/>
        </w:rPr>
      </w:pPr>
      <w:r>
        <w:rPr>
          <w:rFonts w:hint="eastAsia" w:ascii="宋体" w:hAnsi="宋体"/>
          <w:szCs w:val="21"/>
        </w:rPr>
        <w:t>如有以下情况时，应在备注栏中说明。</w:t>
      </w:r>
    </w:p>
    <w:p>
      <w:pPr>
        <w:snapToGrid w:val="0"/>
        <w:spacing w:line="360" w:lineRule="auto"/>
        <w:ind w:firstLine="403" w:firstLineChars="192"/>
        <w:rPr>
          <w:rFonts w:ascii="宋体" w:hAnsi="宋体"/>
          <w:szCs w:val="21"/>
        </w:rPr>
      </w:pPr>
      <w:r>
        <w:rPr>
          <w:rFonts w:hint="eastAsia" w:ascii="宋体" w:hAnsi="宋体"/>
          <w:szCs w:val="21"/>
        </w:rPr>
        <w:t>（1）在生产过程末端抽样时，应有“样品检验合格，待出厂”的描述；</w:t>
      </w:r>
    </w:p>
    <w:p>
      <w:pPr>
        <w:snapToGrid w:val="0"/>
        <w:spacing w:line="360" w:lineRule="auto"/>
        <w:ind w:firstLine="403" w:firstLineChars="192"/>
        <w:rPr>
          <w:rFonts w:ascii="宋体" w:hAnsi="宋体"/>
          <w:szCs w:val="21"/>
        </w:rPr>
      </w:pPr>
      <w:r>
        <w:rPr>
          <w:rFonts w:hint="eastAsia" w:ascii="宋体" w:hAnsi="宋体"/>
          <w:szCs w:val="21"/>
        </w:rPr>
        <w:t>（2）贴牌生产或委托加工应说明，并附协议或证明。</w:t>
      </w:r>
    </w:p>
    <w:p>
      <w:pPr>
        <w:snapToGrid w:val="0"/>
        <w:spacing w:line="360" w:lineRule="auto"/>
        <w:rPr>
          <w:rFonts w:ascii="宋体" w:hAnsi="宋体"/>
          <w:szCs w:val="21"/>
        </w:rPr>
      </w:pPr>
      <w:r>
        <w:rPr>
          <w:rFonts w:hint="eastAsia" w:ascii="宋体" w:hAnsi="宋体"/>
          <w:szCs w:val="21"/>
        </w:rPr>
        <w:t>6.7注意事项</w:t>
      </w:r>
    </w:p>
    <w:p>
      <w:pPr>
        <w:snapToGrid w:val="0"/>
        <w:spacing w:line="360" w:lineRule="auto"/>
        <w:rPr>
          <w:rFonts w:ascii="宋体" w:hAnsi="宋体"/>
          <w:szCs w:val="21"/>
        </w:rPr>
      </w:pPr>
      <w:r>
        <w:rPr>
          <w:rFonts w:hint="eastAsia" w:ascii="宋体" w:hAnsi="宋体"/>
          <w:szCs w:val="21"/>
        </w:rPr>
        <w:t>6.7.1 对被抽取样品加封有抽样日期、封样人和受检单位代表签字，并加盖有抽样单位公章的封条或抽样单位标志的签封。</w:t>
      </w:r>
    </w:p>
    <w:p>
      <w:pPr>
        <w:snapToGrid w:val="0"/>
        <w:spacing w:line="360" w:lineRule="auto"/>
        <w:rPr>
          <w:rFonts w:ascii="宋体" w:hAnsi="宋体"/>
          <w:szCs w:val="21"/>
        </w:rPr>
      </w:pPr>
      <w:r>
        <w:rPr>
          <w:rFonts w:hint="eastAsia" w:ascii="宋体" w:hAnsi="宋体"/>
          <w:szCs w:val="21"/>
        </w:rPr>
        <w:t>6.7.2 当检验在检验机构进行时，检验机构应当妥善保存样品。在结果发布后样品继续保存三个月，到期后，样品退还被抽查企业或由承检机构按照规定进行处理。</w:t>
      </w:r>
    </w:p>
    <w:p>
      <w:pPr>
        <w:snapToGrid w:val="0"/>
        <w:spacing w:line="360" w:lineRule="auto"/>
        <w:rPr>
          <w:rFonts w:ascii="宋体" w:hAnsi="宋体"/>
          <w:szCs w:val="21"/>
        </w:rPr>
      </w:pPr>
      <w:r>
        <w:rPr>
          <w:rFonts w:hint="eastAsia" w:ascii="宋体" w:hAnsi="宋体"/>
          <w:szCs w:val="21"/>
        </w:rPr>
        <w:t>6.7.3 若产品明示的执行标准为经备案的现行有效的企业标准，则视其企业标准为明示质量指标，应要求企业提供其现行有效的企业标准文本，并在抽样单上注明。</w:t>
      </w:r>
    </w:p>
    <w:p>
      <w:pPr>
        <w:snapToGrid w:val="0"/>
        <w:spacing w:line="360" w:lineRule="auto"/>
        <w:rPr>
          <w:rFonts w:ascii="宋体" w:hAnsi="宋体"/>
          <w:szCs w:val="21"/>
        </w:rPr>
      </w:pPr>
      <w:r>
        <w:rPr>
          <w:rFonts w:hint="eastAsia" w:ascii="宋体" w:hAnsi="宋体"/>
          <w:szCs w:val="21"/>
        </w:rPr>
        <w:t>6.7.4</w:t>
      </w:r>
      <w:r>
        <w:rPr>
          <w:rFonts w:hint="eastAsia" w:ascii="仿宋_GB2312" w:hAnsi="宋体"/>
          <w:color w:val="000000"/>
        </w:rPr>
        <w:t>受检单位应提供被抽查产品对应的产品图纸，包括产品结构细节说明，作为检验依据文件之一。</w:t>
      </w:r>
    </w:p>
    <w:p>
      <w:pPr>
        <w:pStyle w:val="3"/>
        <w:snapToGrid w:val="0"/>
        <w:spacing w:line="360" w:lineRule="auto"/>
        <w:rPr>
          <w:rFonts w:ascii="黑体" w:hAnsi="黑体" w:eastAsia="黑体"/>
          <w:b/>
          <w:color w:val="000000"/>
        </w:rPr>
      </w:pPr>
      <w:r>
        <w:rPr>
          <w:rFonts w:hint="eastAsia" w:ascii="黑体" w:hAnsi="黑体" w:eastAsia="黑体"/>
          <w:b/>
          <w:color w:val="000000"/>
        </w:rPr>
        <w:t>7.检验要求</w:t>
      </w:r>
    </w:p>
    <w:p>
      <w:pPr>
        <w:snapToGrid w:val="0"/>
        <w:spacing w:line="360" w:lineRule="auto"/>
        <w:rPr>
          <w:rFonts w:ascii="黑体" w:hAnsi="宋体" w:eastAsia="黑体"/>
          <w:b/>
          <w:color w:val="000000"/>
        </w:rPr>
      </w:pPr>
      <w:r>
        <w:rPr>
          <w:rFonts w:hint="eastAsia" w:ascii="黑体" w:hAnsi="宋体" w:eastAsia="黑体"/>
          <w:b/>
          <w:color w:val="000000"/>
        </w:rPr>
        <w:t>7.1 检验项目及重要程度分类</w:t>
      </w:r>
      <w:r>
        <w:rPr>
          <w:rFonts w:hint="eastAsia" w:ascii="黑体" w:eastAsia="黑体"/>
          <w:b/>
          <w:color w:val="000000"/>
        </w:rPr>
        <w:t>见表2</w:t>
      </w:r>
    </w:p>
    <w:p>
      <w:pPr>
        <w:snapToGrid w:val="0"/>
        <w:spacing w:line="360" w:lineRule="auto"/>
        <w:ind w:firstLine="2774" w:firstLineChars="1316"/>
        <w:rPr>
          <w:rFonts w:ascii="仿宋_GB2312"/>
          <w:b/>
          <w:color w:val="000000"/>
        </w:rPr>
      </w:pPr>
      <w:r>
        <w:rPr>
          <w:rFonts w:hint="eastAsia" w:ascii="黑体" w:hAnsi="宋体" w:eastAsia="黑体"/>
          <w:b/>
          <w:color w:val="000000"/>
        </w:rPr>
        <w:t>表2  检验项目</w:t>
      </w:r>
      <w:r>
        <w:rPr>
          <w:rFonts w:hint="eastAsia" w:ascii="黑体" w:eastAsia="黑体"/>
          <w:b/>
          <w:color w:val="000000"/>
        </w:rPr>
        <w:t>及重要程度分类表</w:t>
      </w:r>
    </w:p>
    <w:tbl>
      <w:tblPr>
        <w:tblStyle w:val="6"/>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242"/>
        <w:gridCol w:w="2214"/>
        <w:gridCol w:w="1980"/>
        <w:gridCol w:w="108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098" w:type="dxa"/>
            <w:tcMar>
              <w:left w:w="28" w:type="dxa"/>
              <w:right w:w="28" w:type="dxa"/>
            </w:tcMar>
            <w:vAlign w:val="center"/>
          </w:tcPr>
          <w:p>
            <w:pPr>
              <w:pStyle w:val="3"/>
              <w:adjustRightInd w:val="0"/>
              <w:snapToGrid w:val="0"/>
              <w:jc w:val="center"/>
              <w:rPr>
                <w:rFonts w:ascii="黑体" w:hAnsi="宋体" w:eastAsia="黑体"/>
                <w:b/>
                <w:sz w:val="18"/>
                <w:szCs w:val="18"/>
              </w:rPr>
            </w:pPr>
            <w:r>
              <w:rPr>
                <w:rFonts w:hint="eastAsia" w:ascii="黑体" w:hAnsi="宋体" w:eastAsia="黑体"/>
                <w:b/>
                <w:sz w:val="18"/>
                <w:szCs w:val="18"/>
              </w:rPr>
              <w:t>序号</w:t>
            </w:r>
          </w:p>
        </w:tc>
        <w:tc>
          <w:tcPr>
            <w:tcW w:w="1242" w:type="dxa"/>
            <w:vAlign w:val="center"/>
          </w:tcPr>
          <w:p>
            <w:pPr>
              <w:pStyle w:val="3"/>
              <w:adjustRightInd w:val="0"/>
              <w:snapToGrid w:val="0"/>
              <w:jc w:val="center"/>
              <w:rPr>
                <w:rFonts w:ascii="黑体" w:hAnsi="宋体" w:eastAsia="黑体"/>
                <w:b/>
                <w:sz w:val="18"/>
                <w:szCs w:val="18"/>
              </w:rPr>
            </w:pPr>
            <w:r>
              <w:rPr>
                <w:rFonts w:hint="eastAsia" w:ascii="黑体" w:hAnsi="宋体" w:eastAsia="黑体"/>
                <w:b/>
                <w:sz w:val="18"/>
                <w:szCs w:val="18"/>
              </w:rPr>
              <w:t>检验项目</w:t>
            </w:r>
          </w:p>
        </w:tc>
        <w:tc>
          <w:tcPr>
            <w:tcW w:w="2214" w:type="dxa"/>
            <w:vAlign w:val="center"/>
          </w:tcPr>
          <w:p>
            <w:pPr>
              <w:pStyle w:val="3"/>
              <w:jc w:val="center"/>
              <w:rPr>
                <w:rFonts w:ascii="黑体" w:hAnsi="宋体" w:eastAsia="黑体"/>
                <w:sz w:val="18"/>
                <w:szCs w:val="18"/>
              </w:rPr>
            </w:pPr>
            <w:r>
              <w:rPr>
                <w:rFonts w:hint="eastAsia" w:ascii="黑体" w:hAnsi="宋体" w:eastAsia="黑体"/>
                <w:b/>
                <w:color w:val="000000"/>
                <w:sz w:val="18"/>
                <w:szCs w:val="18"/>
              </w:rPr>
              <w:t>依据标准及条款</w:t>
            </w:r>
          </w:p>
        </w:tc>
        <w:tc>
          <w:tcPr>
            <w:tcW w:w="1980" w:type="dxa"/>
            <w:vAlign w:val="center"/>
          </w:tcPr>
          <w:p>
            <w:pPr>
              <w:pStyle w:val="3"/>
              <w:jc w:val="center"/>
              <w:rPr>
                <w:rFonts w:ascii="黑体" w:hAnsi="宋体" w:eastAsia="黑体"/>
                <w:b/>
                <w:sz w:val="18"/>
                <w:szCs w:val="18"/>
              </w:rPr>
            </w:pPr>
            <w:r>
              <w:rPr>
                <w:rFonts w:hint="eastAsia" w:hAnsi="宋体"/>
                <w:b/>
                <w:color w:val="000000"/>
                <w:sz w:val="18"/>
                <w:szCs w:val="18"/>
              </w:rPr>
              <w:t>检测方法及条款</w:t>
            </w:r>
          </w:p>
        </w:tc>
        <w:tc>
          <w:tcPr>
            <w:tcW w:w="1080" w:type="dxa"/>
            <w:vAlign w:val="center"/>
          </w:tcPr>
          <w:p>
            <w:pPr>
              <w:pStyle w:val="3"/>
              <w:adjustRightInd w:val="0"/>
              <w:snapToGrid w:val="0"/>
              <w:ind w:left="499" w:hanging="499" w:hangingChars="276"/>
              <w:jc w:val="left"/>
              <w:rPr>
                <w:rFonts w:ascii="黑体" w:hAnsi="宋体" w:eastAsia="黑体"/>
                <w:b/>
                <w:color w:val="000000"/>
                <w:sz w:val="18"/>
                <w:szCs w:val="18"/>
              </w:rPr>
            </w:pPr>
            <w:r>
              <w:rPr>
                <w:rFonts w:hint="eastAsia" w:ascii="黑体" w:hAnsi="宋体" w:eastAsia="黑体"/>
                <w:b/>
                <w:color w:val="000000"/>
                <w:sz w:val="18"/>
                <w:szCs w:val="18"/>
              </w:rPr>
              <w:t>重要程</w:t>
            </w:r>
          </w:p>
          <w:p>
            <w:pPr>
              <w:pStyle w:val="3"/>
              <w:adjustRightInd w:val="0"/>
              <w:snapToGrid w:val="0"/>
              <w:ind w:left="499" w:hanging="499" w:hangingChars="276"/>
              <w:jc w:val="left"/>
              <w:rPr>
                <w:rFonts w:ascii="黑体" w:hAnsi="宋体" w:eastAsia="黑体"/>
                <w:b/>
                <w:sz w:val="18"/>
                <w:szCs w:val="18"/>
              </w:rPr>
            </w:pPr>
            <w:r>
              <w:rPr>
                <w:rFonts w:hint="eastAsia" w:ascii="黑体" w:hAnsi="宋体" w:eastAsia="黑体"/>
                <w:b/>
                <w:color w:val="000000"/>
                <w:sz w:val="18"/>
                <w:szCs w:val="18"/>
              </w:rPr>
              <w:t>度类别</w:t>
            </w:r>
          </w:p>
        </w:tc>
        <w:tc>
          <w:tcPr>
            <w:tcW w:w="1154" w:type="dxa"/>
            <w:shd w:val="clear" w:color="auto" w:fill="auto"/>
            <w:vAlign w:val="center"/>
          </w:tcPr>
          <w:p>
            <w:pPr>
              <w:snapToGrid w:val="0"/>
              <w:jc w:val="center"/>
              <w:rPr>
                <w:rFonts w:ascii="黑体" w:hAnsi="宋体" w:eastAsia="黑体"/>
                <w:b/>
                <w:sz w:val="18"/>
                <w:szCs w:val="18"/>
              </w:rPr>
            </w:pPr>
            <w:r>
              <w:rPr>
                <w:rFonts w:hint="eastAsia" w:ascii="黑体" w:hAnsi="宋体" w:eastAsia="黑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外观质量</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5.4.2</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6.5.2</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C</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2</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门扇质量</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5.5</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6.6</w:t>
            </w:r>
          </w:p>
        </w:tc>
        <w:tc>
          <w:tcPr>
            <w:tcW w:w="1080" w:type="dxa"/>
            <w:tcBorders>
              <w:bottom w:val="single" w:color="auto" w:sz="4" w:space="0"/>
            </w:tcBorders>
            <w:vAlign w:val="center"/>
          </w:tcPr>
          <w:p>
            <w:pPr>
              <w:pStyle w:val="3"/>
              <w:adjustRightInd w:val="0"/>
              <w:snapToGrid w:val="0"/>
              <w:jc w:val="center"/>
              <w:rPr>
                <w:rFonts w:hAnsi="宋体"/>
                <w:sz w:val="18"/>
                <w:szCs w:val="18"/>
              </w:rPr>
            </w:pPr>
            <w:r>
              <w:rPr>
                <w:rFonts w:hint="eastAsia"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3</w:t>
            </w:r>
          </w:p>
        </w:tc>
        <w:tc>
          <w:tcPr>
            <w:tcW w:w="1242" w:type="dxa"/>
            <w:vAlign w:val="center"/>
          </w:tcPr>
          <w:p>
            <w:pPr>
              <w:pStyle w:val="3"/>
              <w:adjustRightInd w:val="0"/>
              <w:snapToGrid w:val="0"/>
              <w:rPr>
                <w:rFonts w:hAnsi="宋体"/>
                <w:sz w:val="18"/>
                <w:szCs w:val="18"/>
              </w:rPr>
            </w:pPr>
            <w:r>
              <w:rPr>
                <w:rFonts w:hint="eastAsia" w:hAnsi="宋体"/>
                <w:sz w:val="18"/>
                <w:szCs w:val="18"/>
              </w:rPr>
              <w:t>尺寸极限偏差</w:t>
            </w:r>
          </w:p>
        </w:tc>
        <w:tc>
          <w:tcPr>
            <w:tcW w:w="2214"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5.6</w:t>
            </w:r>
          </w:p>
        </w:tc>
        <w:tc>
          <w:tcPr>
            <w:tcW w:w="1980"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6.7</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C</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4</w:t>
            </w:r>
          </w:p>
        </w:tc>
        <w:tc>
          <w:tcPr>
            <w:tcW w:w="1242" w:type="dxa"/>
            <w:vAlign w:val="center"/>
          </w:tcPr>
          <w:p>
            <w:pPr>
              <w:pStyle w:val="3"/>
              <w:adjustRightInd w:val="0"/>
              <w:snapToGrid w:val="0"/>
              <w:rPr>
                <w:rFonts w:hAnsi="宋体"/>
                <w:sz w:val="18"/>
                <w:szCs w:val="18"/>
              </w:rPr>
            </w:pPr>
            <w:r>
              <w:rPr>
                <w:rFonts w:hint="eastAsia" w:hAnsi="宋体"/>
                <w:sz w:val="18"/>
                <w:szCs w:val="18"/>
              </w:rPr>
              <w:t>形位公差</w:t>
            </w:r>
          </w:p>
        </w:tc>
        <w:tc>
          <w:tcPr>
            <w:tcW w:w="2214"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5.7</w:t>
            </w:r>
          </w:p>
        </w:tc>
        <w:tc>
          <w:tcPr>
            <w:tcW w:w="1980"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6.8</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B</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5</w:t>
            </w:r>
          </w:p>
        </w:tc>
        <w:tc>
          <w:tcPr>
            <w:tcW w:w="1242" w:type="dxa"/>
            <w:vAlign w:val="center"/>
          </w:tcPr>
          <w:p>
            <w:pPr>
              <w:pStyle w:val="3"/>
              <w:adjustRightInd w:val="0"/>
              <w:snapToGrid w:val="0"/>
              <w:rPr>
                <w:rFonts w:hAnsi="宋体"/>
                <w:sz w:val="18"/>
                <w:szCs w:val="18"/>
              </w:rPr>
            </w:pPr>
            <w:r>
              <w:rPr>
                <w:rFonts w:hint="eastAsia" w:hAnsi="宋体"/>
                <w:sz w:val="18"/>
                <w:szCs w:val="18"/>
              </w:rPr>
              <w:t>配合公差</w:t>
            </w:r>
          </w:p>
        </w:tc>
        <w:tc>
          <w:tcPr>
            <w:tcW w:w="2214"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5.8</w:t>
            </w:r>
          </w:p>
        </w:tc>
        <w:tc>
          <w:tcPr>
            <w:tcW w:w="1980"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6.9</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C</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6</w:t>
            </w:r>
          </w:p>
        </w:tc>
        <w:tc>
          <w:tcPr>
            <w:tcW w:w="1242" w:type="dxa"/>
            <w:vAlign w:val="center"/>
          </w:tcPr>
          <w:p>
            <w:pPr>
              <w:pStyle w:val="3"/>
              <w:adjustRightInd w:val="0"/>
              <w:snapToGrid w:val="0"/>
              <w:rPr>
                <w:rFonts w:hAnsi="宋体"/>
                <w:kern w:val="0"/>
                <w:sz w:val="18"/>
                <w:szCs w:val="18"/>
              </w:rPr>
            </w:pPr>
            <w:r>
              <w:rPr>
                <w:rFonts w:hint="eastAsia" w:hAnsi="宋体"/>
                <w:sz w:val="18"/>
                <w:szCs w:val="18"/>
              </w:rPr>
              <w:t>灵活性</w:t>
            </w:r>
          </w:p>
        </w:tc>
        <w:tc>
          <w:tcPr>
            <w:tcW w:w="2214" w:type="dxa"/>
            <w:vAlign w:val="center"/>
          </w:tcPr>
          <w:p>
            <w:pPr>
              <w:pStyle w:val="3"/>
              <w:adjustRightInd w:val="0"/>
              <w:snapToGrid w:val="0"/>
              <w:rPr>
                <w:rFonts w:hAnsi="宋体"/>
                <w:sz w:val="18"/>
                <w:szCs w:val="18"/>
              </w:rPr>
            </w:pPr>
            <w:r>
              <w:rPr>
                <w:rFonts w:hAnsi="宋体"/>
                <w:sz w:val="18"/>
                <w:szCs w:val="18"/>
              </w:rPr>
              <w:t>GB 12955-2008</w:t>
            </w:r>
            <w:r>
              <w:rPr>
                <w:rFonts w:hint="eastAsia" w:hAnsi="宋体"/>
                <w:sz w:val="18"/>
                <w:szCs w:val="18"/>
              </w:rPr>
              <w:t xml:space="preserve"> 5.9</w:t>
            </w:r>
          </w:p>
        </w:tc>
        <w:tc>
          <w:tcPr>
            <w:tcW w:w="1980" w:type="dxa"/>
            <w:vAlign w:val="center"/>
          </w:tcPr>
          <w:p>
            <w:pPr>
              <w:pStyle w:val="3"/>
              <w:adjustRightInd w:val="0"/>
              <w:snapToGrid w:val="0"/>
              <w:rPr>
                <w:rFonts w:hAnsi="宋体"/>
                <w:sz w:val="18"/>
                <w:szCs w:val="18"/>
              </w:rPr>
            </w:pPr>
            <w:r>
              <w:rPr>
                <w:rFonts w:hAnsi="宋体"/>
                <w:sz w:val="18"/>
                <w:szCs w:val="18"/>
              </w:rPr>
              <w:t>GB 12955-2008</w:t>
            </w:r>
            <w:r>
              <w:rPr>
                <w:rFonts w:hint="eastAsia" w:hAnsi="宋体"/>
                <w:sz w:val="18"/>
                <w:szCs w:val="18"/>
              </w:rPr>
              <w:t xml:space="preserve"> 6. 10.1</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768" w:type="dxa"/>
            <w:gridSpan w:val="6"/>
            <w:vAlign w:val="center"/>
          </w:tcPr>
          <w:p>
            <w:pPr>
              <w:rPr>
                <w:rFonts w:ascii="宋体" w:hAnsi="宋体"/>
                <w:color w:val="000000"/>
                <w:sz w:val="18"/>
                <w:szCs w:val="18"/>
              </w:rPr>
            </w:pPr>
            <w:r>
              <w:rPr>
                <w:rFonts w:hint="eastAsia" w:ascii="宋体" w:hAnsi="宋体"/>
                <w:color w:val="000000"/>
                <w:sz w:val="18"/>
                <w:szCs w:val="18"/>
              </w:rPr>
              <w:t>A极重要的质量特性指标，</w:t>
            </w:r>
          </w:p>
          <w:p>
            <w:pPr>
              <w:rPr>
                <w:rFonts w:ascii="宋体" w:hAnsi="宋体"/>
                <w:color w:val="000000"/>
                <w:sz w:val="18"/>
                <w:szCs w:val="18"/>
              </w:rPr>
            </w:pPr>
            <w:r>
              <w:rPr>
                <w:rFonts w:hint="eastAsia" w:ascii="宋体" w:hAnsi="宋体"/>
                <w:color w:val="000000"/>
                <w:sz w:val="18"/>
                <w:szCs w:val="18"/>
              </w:rPr>
              <w:t>B重要的质量特性指标。</w:t>
            </w:r>
          </w:p>
        </w:tc>
      </w:tr>
    </w:tbl>
    <w:p>
      <w:pPr>
        <w:rPr>
          <w:rFonts w:ascii="宋体" w:hAnsi="宋体"/>
          <w:color w:val="000000"/>
          <w:sz w:val="18"/>
          <w:szCs w:val="18"/>
        </w:rPr>
      </w:pPr>
      <w:r>
        <w:rPr>
          <w:rFonts w:hint="eastAsia" w:ascii="宋体" w:hAnsi="宋体"/>
          <w:color w:val="000000"/>
          <w:sz w:val="18"/>
          <w:szCs w:val="18"/>
        </w:rPr>
        <w:t>注：①极重要质量项目是指直接涉及人体健康、使用安全的指标；重要质量项目是指产品涉及环保、能效、关键性能或特征值的指标。</w:t>
      </w:r>
    </w:p>
    <w:p>
      <w:pPr>
        <w:rPr>
          <w:rFonts w:ascii="宋体"/>
          <w:color w:val="000000"/>
          <w:sz w:val="18"/>
          <w:szCs w:val="18"/>
        </w:rPr>
      </w:pPr>
      <w:r>
        <w:rPr>
          <w:rFonts w:hint="eastAsia" w:ascii="宋体" w:hAnsi="宋体"/>
          <w:color w:val="000000"/>
          <w:sz w:val="18"/>
          <w:szCs w:val="18"/>
        </w:rPr>
        <w:t>②上表所列检验项目是有关法律法规、标准等规定的，重点涉及健康、安全、节能、环保以及消费者、有关组织反映有质量问题的重要项目。</w:t>
      </w:r>
    </w:p>
    <w:p>
      <w:pPr>
        <w:snapToGrid w:val="0"/>
        <w:spacing w:line="360" w:lineRule="auto"/>
        <w:rPr>
          <w:rFonts w:ascii="黑体" w:hAnsi="宋体" w:eastAsia="黑体"/>
          <w:b/>
          <w:color w:val="000000"/>
        </w:rPr>
      </w:pPr>
      <w:r>
        <w:rPr>
          <w:rFonts w:hint="eastAsia" w:ascii="黑体" w:hAnsi="宋体" w:eastAsia="黑体"/>
          <w:b/>
          <w:color w:val="000000"/>
        </w:rPr>
        <w:t>7.2 检验应注意的问题</w:t>
      </w:r>
    </w:p>
    <w:p>
      <w:pPr>
        <w:snapToGrid w:val="0"/>
        <w:spacing w:line="360" w:lineRule="auto"/>
        <w:rPr>
          <w:rFonts w:ascii="仿宋_GB2312" w:hAnsi="宋体"/>
          <w:color w:val="000000"/>
        </w:rPr>
      </w:pPr>
      <w:r>
        <w:rPr>
          <w:rFonts w:hint="eastAsia" w:ascii="宋体" w:hAnsi="宋体"/>
          <w:b/>
          <w:color w:val="000000"/>
        </w:rPr>
        <w:t>7.2.1</w:t>
      </w:r>
      <w:r>
        <w:rPr>
          <w:rFonts w:hint="eastAsia" w:ascii="仿宋_GB2312" w:hAnsi="宋体"/>
          <w:color w:val="000000"/>
        </w:rPr>
        <w:t xml:space="preserve"> 检验机构在接收样品时，必须认真检查样品的封条是否完整、样品是否完好。</w:t>
      </w:r>
    </w:p>
    <w:p>
      <w:pPr>
        <w:snapToGrid w:val="0"/>
        <w:spacing w:line="360" w:lineRule="auto"/>
        <w:rPr>
          <w:rFonts w:ascii="仿宋_GB2312" w:hAnsi="宋体"/>
          <w:color w:val="000000"/>
        </w:rPr>
      </w:pPr>
      <w:r>
        <w:rPr>
          <w:rFonts w:hint="eastAsia" w:ascii="宋体" w:hAnsi="宋体"/>
          <w:b/>
          <w:color w:val="000000"/>
        </w:rPr>
        <w:t>7.2.2</w:t>
      </w:r>
      <w:r>
        <w:rPr>
          <w:rFonts w:hint="eastAsia" w:ascii="仿宋_GB2312" w:hAnsi="宋体"/>
          <w:color w:val="000000"/>
        </w:rPr>
        <w:t xml:space="preserve"> 若被检产品明示的质量要求高于本细则中检验项目依据的标准要求时，应按被检产品明示的质量要求判定。若被检产品明示的质量要求低于本细则中检验项目依据的强制性标准要求时，应按照强制性标准要求判定。若被检产品明示的质量要求低于或包含细则中检验项目依据的推荐性标准要求时，应以被检产品明示的质量要求判定。若被检产品明示的质量要求缺少本细则中检验项目依据的强制性标准要求时，应按照强制性标准要求判定。若被检产品明示的质量要求缺少本方案中检验项目依据的推荐性标准要求时，该项目不参与判定，但应在检验报告备注中进行说明。</w:t>
      </w:r>
    </w:p>
    <w:p>
      <w:pPr>
        <w:pStyle w:val="3"/>
        <w:snapToGrid w:val="0"/>
        <w:spacing w:line="360" w:lineRule="auto"/>
        <w:rPr>
          <w:rFonts w:ascii="黑体" w:hAnsi="黑体" w:eastAsia="黑体"/>
          <w:b/>
          <w:color w:val="000000"/>
        </w:rPr>
      </w:pPr>
      <w:r>
        <w:rPr>
          <w:rFonts w:hint="eastAsia" w:ascii="黑体" w:hAnsi="黑体" w:eastAsia="黑体"/>
          <w:b/>
          <w:color w:val="000000"/>
        </w:rPr>
        <w:t>8.判定原则</w:t>
      </w:r>
    </w:p>
    <w:p>
      <w:pPr>
        <w:snapToGrid w:val="0"/>
        <w:spacing w:line="360" w:lineRule="auto"/>
        <w:ind w:firstLine="420"/>
        <w:rPr>
          <w:rFonts w:ascii="仿宋_GB2312" w:hAnsi="宋体"/>
          <w:color w:val="000000"/>
        </w:rPr>
      </w:pPr>
      <w:r>
        <w:rPr>
          <w:rFonts w:hint="eastAsia" w:ascii="仿宋_GB2312" w:hAnsi="宋体"/>
          <w:color w:val="000000"/>
        </w:rPr>
        <w:t>经检验，所检项目的检验结果不含A类不合格项，B类与C类不合格项之和不大于四项，且B类不合格项不大于一项，判定为合格。否则判定为不合格。有A类不合格项，属于严重不合格。</w:t>
      </w:r>
    </w:p>
    <w:p>
      <w:pPr>
        <w:snapToGrid w:val="0"/>
        <w:spacing w:line="440" w:lineRule="exact"/>
        <w:ind w:firstLine="420" w:firstLineChars="200"/>
      </w:pPr>
      <w:r>
        <w:rPr>
          <w:rFonts w:hint="eastAsia"/>
        </w:rPr>
        <w:t>统一结论用语：（使用以下三者之一）：</w:t>
      </w:r>
    </w:p>
    <w:p>
      <w:pPr>
        <w:snapToGrid w:val="0"/>
        <w:spacing w:line="440" w:lineRule="exact"/>
        <w:ind w:firstLine="420" w:firstLineChars="200"/>
        <w:rPr>
          <w:rFonts w:ascii="宋体" w:hAnsi="宋体"/>
          <w:szCs w:val="21"/>
        </w:rPr>
      </w:pPr>
      <w:r>
        <w:rPr>
          <w:rFonts w:hint="eastAsia"/>
        </w:rPr>
        <w:t>●经</w:t>
      </w:r>
      <w:r>
        <w:rPr>
          <w:rFonts w:hint="eastAsia" w:ascii="宋体" w:hAnsi="宋体"/>
          <w:szCs w:val="21"/>
        </w:rPr>
        <w:t>抽样检验，</w:t>
      </w:r>
      <w:r>
        <w:rPr>
          <w:rFonts w:ascii="宋体" w:hAnsi="宋体"/>
          <w:szCs w:val="21"/>
        </w:rPr>
        <w:t xml:space="preserve"> </w:t>
      </w:r>
      <w:r>
        <w:rPr>
          <w:rFonts w:hint="eastAsia" w:ascii="宋体" w:hAnsi="宋体"/>
          <w:szCs w:val="21"/>
        </w:rPr>
        <w:t>所检项目符合</w:t>
      </w:r>
      <w:r>
        <w:rPr>
          <w:rFonts w:ascii="宋体" w:hAnsi="宋体"/>
          <w:szCs w:val="21"/>
        </w:rPr>
        <w:t>xx</w:t>
      </w:r>
      <w:r>
        <w:rPr>
          <w:rFonts w:hint="eastAsia" w:ascii="宋体" w:hAnsi="宋体"/>
          <w:szCs w:val="21"/>
        </w:rPr>
        <w:t>标准要求，依据</w:t>
      </w:r>
      <w:r>
        <w:rPr>
          <w:szCs w:val="21"/>
        </w:rPr>
        <w:t>xxx</w:t>
      </w:r>
      <w:r>
        <w:rPr>
          <w:rFonts w:hint="eastAsia"/>
          <w:szCs w:val="21"/>
        </w:rPr>
        <w:t>抽查细则（或方案）</w:t>
      </w:r>
      <w:r>
        <w:rPr>
          <w:rFonts w:hint="eastAsia" w:ascii="宋体" w:hAnsi="宋体"/>
          <w:szCs w:val="21"/>
        </w:rPr>
        <w:t>，判定为合格；</w:t>
      </w:r>
    </w:p>
    <w:p>
      <w:pPr>
        <w:snapToGrid w:val="0"/>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 xml:space="preserve"> 经抽样检验，</w:t>
      </w:r>
      <w:r>
        <w:rPr>
          <w:rFonts w:ascii="宋体" w:hAnsi="宋体"/>
          <w:color w:val="000000"/>
          <w:szCs w:val="21"/>
        </w:rPr>
        <w:t xml:space="preserve"> 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项目不符合</w:t>
      </w:r>
      <w:r>
        <w:rPr>
          <w:rFonts w:ascii="宋体" w:hAnsi="宋体"/>
          <w:color w:val="000000"/>
          <w:szCs w:val="21"/>
        </w:rPr>
        <w:t>xxxx</w:t>
      </w:r>
      <w:r>
        <w:rPr>
          <w:rFonts w:hint="eastAsia" w:ascii="宋体" w:hAnsi="宋体"/>
          <w:color w:val="000000"/>
          <w:szCs w:val="21"/>
        </w:rPr>
        <w:t>标准要求，</w:t>
      </w:r>
      <w:r>
        <w:rPr>
          <w:rFonts w:hint="eastAsia" w:ascii="宋体" w:hAnsi="宋体"/>
          <w:szCs w:val="21"/>
        </w:rPr>
        <w:t>依据</w:t>
      </w:r>
      <w:r>
        <w:rPr>
          <w:szCs w:val="21"/>
        </w:rPr>
        <w:t>xxx</w:t>
      </w:r>
      <w:r>
        <w:rPr>
          <w:rFonts w:hint="eastAsia"/>
          <w:szCs w:val="21"/>
        </w:rPr>
        <w:t>抽查细则（或方案）</w:t>
      </w:r>
      <w:r>
        <w:rPr>
          <w:rFonts w:hint="eastAsia" w:ascii="宋体" w:hAnsi="宋体"/>
          <w:szCs w:val="21"/>
        </w:rPr>
        <w:t>，</w:t>
      </w:r>
      <w:r>
        <w:rPr>
          <w:rFonts w:hint="eastAsia" w:ascii="宋体" w:hAnsi="宋体"/>
          <w:color w:val="000000"/>
          <w:szCs w:val="21"/>
        </w:rPr>
        <w:t>判定为不合格；</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 经抽样检验，</w:t>
      </w:r>
      <w:r>
        <w:rPr>
          <w:rFonts w:ascii="宋体" w:hAnsi="宋体"/>
          <w:color w:val="000000"/>
          <w:szCs w:val="21"/>
        </w:rPr>
        <w:t xml:space="preserve"> 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项目不符合</w:t>
      </w:r>
      <w:r>
        <w:rPr>
          <w:rFonts w:ascii="宋体" w:hAnsi="宋体"/>
          <w:color w:val="000000"/>
          <w:szCs w:val="21"/>
        </w:rPr>
        <w:t>xxxx</w:t>
      </w:r>
      <w:r>
        <w:rPr>
          <w:rFonts w:hint="eastAsia" w:ascii="宋体" w:hAnsi="宋体"/>
          <w:color w:val="000000"/>
          <w:szCs w:val="21"/>
        </w:rPr>
        <w:t>标准要求，</w:t>
      </w:r>
      <w:r>
        <w:rPr>
          <w:rFonts w:hint="eastAsia" w:ascii="宋体" w:hAnsi="宋体"/>
          <w:szCs w:val="21"/>
        </w:rPr>
        <w:t>依据</w:t>
      </w:r>
      <w:r>
        <w:rPr>
          <w:szCs w:val="21"/>
        </w:rPr>
        <w:t>xxx</w:t>
      </w:r>
      <w:r>
        <w:rPr>
          <w:rFonts w:hint="eastAsia"/>
          <w:szCs w:val="21"/>
        </w:rPr>
        <w:t>抽查细则（或方案）</w:t>
      </w:r>
      <w:r>
        <w:rPr>
          <w:rFonts w:hint="eastAsia" w:ascii="宋体" w:hAnsi="宋体"/>
          <w:szCs w:val="21"/>
        </w:rPr>
        <w:t>，</w:t>
      </w:r>
      <w:r>
        <w:rPr>
          <w:rFonts w:hint="eastAsia" w:ascii="宋体" w:hAnsi="宋体"/>
          <w:color w:val="000000"/>
          <w:szCs w:val="21"/>
        </w:rPr>
        <w:t>判定为不合格，属于严重不合格。</w:t>
      </w:r>
    </w:p>
    <w:p>
      <w:pPr>
        <w:snapToGrid w:val="0"/>
        <w:spacing w:line="440" w:lineRule="exact"/>
        <w:ind w:firstLine="360" w:firstLineChars="200"/>
        <w:rPr>
          <w:rFonts w:ascii="宋体" w:hAnsi="宋体"/>
          <w:color w:val="000000"/>
          <w:sz w:val="18"/>
          <w:szCs w:val="18"/>
        </w:rPr>
      </w:pPr>
      <w:r>
        <w:rPr>
          <w:rFonts w:hint="eastAsia" w:ascii="宋体" w:hAnsi="宋体"/>
          <w:color w:val="000000"/>
          <w:sz w:val="18"/>
          <w:szCs w:val="18"/>
        </w:rPr>
        <w:t>注：</w:t>
      </w:r>
      <w:r>
        <w:rPr>
          <w:rFonts w:ascii="宋体" w:hAnsi="宋体"/>
          <w:color w:val="000000"/>
          <w:sz w:val="18"/>
          <w:szCs w:val="18"/>
        </w:rPr>
        <w:t>xx</w:t>
      </w:r>
      <w:r>
        <w:rPr>
          <w:rFonts w:hint="eastAsia" w:ascii="宋体" w:hAnsi="宋体"/>
          <w:color w:val="000000"/>
          <w:sz w:val="18"/>
          <w:szCs w:val="18"/>
        </w:rPr>
        <w:t>表示具体标准、</w:t>
      </w:r>
      <w:r>
        <w:rPr>
          <w:rFonts w:ascii="宋体" w:hAnsi="宋体"/>
          <w:color w:val="000000"/>
          <w:sz w:val="18"/>
          <w:szCs w:val="18"/>
        </w:rPr>
        <w:t>xxx</w:t>
      </w:r>
      <w:r>
        <w:rPr>
          <w:rFonts w:hint="eastAsia" w:ascii="宋体" w:hAnsi="宋体"/>
          <w:color w:val="000000"/>
          <w:sz w:val="18"/>
          <w:szCs w:val="18"/>
        </w:rPr>
        <w:t>表示具体项目、</w:t>
      </w:r>
      <w:r>
        <w:rPr>
          <w:rFonts w:ascii="宋体" w:hAnsi="宋体"/>
          <w:color w:val="000000"/>
          <w:sz w:val="18"/>
          <w:szCs w:val="18"/>
        </w:rPr>
        <w:t>xxxx</w:t>
      </w:r>
      <w:r>
        <w:rPr>
          <w:rFonts w:hint="eastAsia" w:ascii="宋体" w:hAnsi="宋体"/>
          <w:color w:val="000000"/>
          <w:sz w:val="18"/>
          <w:szCs w:val="18"/>
        </w:rPr>
        <w:t>表示依据具体标准。</w:t>
      </w:r>
    </w:p>
    <w:p>
      <w:pPr>
        <w:snapToGrid w:val="0"/>
        <w:spacing w:line="440" w:lineRule="exact"/>
        <w:ind w:firstLine="420" w:firstLineChars="200"/>
        <w:rPr>
          <w:rFonts w:ascii="仿宋_GB2312" w:hAnsi="宋体"/>
          <w:color w:val="000000"/>
        </w:rPr>
      </w:pPr>
    </w:p>
    <w:p>
      <w:pPr>
        <w:pStyle w:val="3"/>
        <w:snapToGrid w:val="0"/>
        <w:spacing w:line="360" w:lineRule="auto"/>
        <w:rPr>
          <w:rFonts w:ascii="黑体" w:hAnsi="黑体" w:eastAsia="黑体"/>
          <w:b/>
          <w:color w:val="000000"/>
        </w:rPr>
      </w:pPr>
      <w:r>
        <w:rPr>
          <w:rFonts w:hint="eastAsia" w:ascii="黑体" w:hAnsi="黑体" w:eastAsia="黑体"/>
          <w:b/>
          <w:color w:val="000000"/>
        </w:rPr>
        <w:t>9.异议处理原则</w:t>
      </w:r>
    </w:p>
    <w:p>
      <w:pPr>
        <w:snapToGrid w:val="0"/>
        <w:spacing w:line="440" w:lineRule="exact"/>
        <w:ind w:firstLine="420" w:firstLineChars="200"/>
        <w:rPr>
          <w:rFonts w:ascii="宋体" w:hAnsi="宋体"/>
          <w:iCs/>
          <w:color w:val="000000"/>
          <w:szCs w:val="21"/>
        </w:rPr>
      </w:pPr>
      <w:r>
        <w:rPr>
          <w:rFonts w:hint="eastAsia" w:ascii="宋体" w:hAnsi="宋体"/>
          <w:iCs/>
          <w:color w:val="000000"/>
          <w:szCs w:val="21"/>
        </w:rPr>
        <w:t>对判定不合格产品进行异议处理时，按以下方式进行：</w:t>
      </w:r>
    </w:p>
    <w:p>
      <w:pPr>
        <w:snapToGrid w:val="0"/>
        <w:spacing w:line="440" w:lineRule="exact"/>
        <w:rPr>
          <w:rFonts w:ascii="宋体" w:hAnsi="宋体"/>
          <w:color w:val="000000"/>
          <w:szCs w:val="21"/>
        </w:rPr>
      </w:pPr>
      <w:r>
        <w:rPr>
          <w:rFonts w:hint="eastAsia" w:ascii="宋体" w:hAnsi="宋体"/>
          <w:color w:val="000000"/>
          <w:szCs w:val="21"/>
        </w:rPr>
        <w:t>9.1核查不合格项目相关证据，能够以记录（纸质记录或电子记录或影像记录）或与不合格项目相关联的其它质量数据等检验证据证明。</w:t>
      </w:r>
    </w:p>
    <w:p>
      <w:pPr>
        <w:snapToGrid w:val="0"/>
        <w:spacing w:line="440" w:lineRule="exact"/>
        <w:rPr>
          <w:kern w:val="0"/>
        </w:rPr>
      </w:pPr>
      <w:r>
        <w:rPr>
          <w:rFonts w:hint="eastAsia" w:ascii="宋体" w:hAnsi="宋体"/>
        </w:rPr>
        <w:t>9.2</w:t>
      </w:r>
      <w:r>
        <w:rPr>
          <w:kern w:val="0"/>
        </w:rPr>
        <w:t>对需要复检并具备检验条件的，处理企业异议的</w:t>
      </w:r>
      <w:r>
        <w:rPr>
          <w:rFonts w:hint="eastAsia"/>
          <w:kern w:val="0"/>
        </w:rPr>
        <w:t>市场</w:t>
      </w:r>
      <w:r>
        <w:rPr>
          <w:kern w:val="0"/>
        </w:rPr>
        <w:t>监督</w:t>
      </w:r>
      <w:r>
        <w:rPr>
          <w:rFonts w:hint="eastAsia"/>
          <w:kern w:val="0"/>
        </w:rPr>
        <w:t>管理</w:t>
      </w:r>
      <w:r>
        <w:rPr>
          <w:kern w:val="0"/>
        </w:rPr>
        <w:t>部门或者指定检验机构应当按原监督抽查方案对留存的样品或抽取的备用样品组织复检，并出具检验报告</w:t>
      </w:r>
      <w:r>
        <w:rPr>
          <w:rFonts w:hint="eastAsia"/>
          <w:kern w:val="0"/>
        </w:rPr>
        <w:t>。</w:t>
      </w:r>
      <w:r>
        <w:rPr>
          <w:kern w:val="0"/>
        </w:rPr>
        <w:t>复检结论为最终结论。</w:t>
      </w:r>
    </w:p>
    <w:p>
      <w:pPr>
        <w:snapToGrid w:val="0"/>
        <w:spacing w:line="440" w:lineRule="exact"/>
        <w:rPr>
          <w:rFonts w:hAnsi="宋体"/>
        </w:rPr>
      </w:pPr>
      <w:r>
        <w:rPr>
          <w:rFonts w:hint="eastAsia" w:ascii="宋体" w:hAnsi="宋体"/>
        </w:rPr>
        <w:t>9.3</w:t>
      </w:r>
      <w:r>
        <w:rPr>
          <w:rFonts w:hint="eastAsia" w:hAnsi="宋体"/>
        </w:rPr>
        <w:t>不予复检的情况</w:t>
      </w:r>
    </w:p>
    <w:p>
      <w:pPr>
        <w:snapToGrid w:val="0"/>
        <w:spacing w:line="440" w:lineRule="exact"/>
        <w:ind w:firstLine="315" w:firstLineChars="150"/>
        <w:rPr>
          <w:rFonts w:ascii="宋体"/>
        </w:rPr>
      </w:pPr>
      <w:r>
        <w:rPr>
          <w:rFonts w:hint="eastAsia"/>
        </w:rPr>
        <w:t>（1）国家产品质量监督抽查实施规范中明确不予复检的检验项目；</w:t>
      </w:r>
    </w:p>
    <w:p>
      <w:pPr>
        <w:snapToGrid w:val="0"/>
        <w:spacing w:line="440" w:lineRule="exact"/>
        <w:ind w:firstLine="315" w:firstLineChars="150"/>
      </w:pPr>
      <w:r>
        <w:rPr>
          <w:rFonts w:hint="eastAsia"/>
        </w:rPr>
        <w:t>（2）提出复检时，产品在正常贮存条件下已失效；</w:t>
      </w:r>
    </w:p>
    <w:p>
      <w:pPr>
        <w:snapToGrid w:val="0"/>
        <w:spacing w:line="440" w:lineRule="exact"/>
        <w:ind w:firstLine="315" w:firstLineChars="150"/>
      </w:pPr>
      <w:r>
        <w:rPr>
          <w:rFonts w:hint="eastAsia"/>
        </w:rPr>
        <w:t>（3）法律、法规规定不得复检的其他情况；</w:t>
      </w:r>
    </w:p>
    <w:p/>
    <w:sectPr>
      <w:headerReference r:id="rId3" w:type="default"/>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C9F"/>
    <w:rsid w:val="00000B00"/>
    <w:rsid w:val="00011508"/>
    <w:rsid w:val="00070C83"/>
    <w:rsid w:val="00084864"/>
    <w:rsid w:val="000B070B"/>
    <w:rsid w:val="000D5B98"/>
    <w:rsid w:val="000E150D"/>
    <w:rsid w:val="000F5A11"/>
    <w:rsid w:val="00135853"/>
    <w:rsid w:val="00162C03"/>
    <w:rsid w:val="001C1C9F"/>
    <w:rsid w:val="001D7361"/>
    <w:rsid w:val="0023239E"/>
    <w:rsid w:val="00256D19"/>
    <w:rsid w:val="00271F3A"/>
    <w:rsid w:val="0030179A"/>
    <w:rsid w:val="003065C4"/>
    <w:rsid w:val="00437BBA"/>
    <w:rsid w:val="004F427D"/>
    <w:rsid w:val="0053333C"/>
    <w:rsid w:val="00544538"/>
    <w:rsid w:val="00555D9C"/>
    <w:rsid w:val="005B1F54"/>
    <w:rsid w:val="00671FBB"/>
    <w:rsid w:val="00672F92"/>
    <w:rsid w:val="006D0035"/>
    <w:rsid w:val="006E1F1F"/>
    <w:rsid w:val="00764FEC"/>
    <w:rsid w:val="00800B85"/>
    <w:rsid w:val="008627B0"/>
    <w:rsid w:val="008C362C"/>
    <w:rsid w:val="00915331"/>
    <w:rsid w:val="009D7116"/>
    <w:rsid w:val="00A4133A"/>
    <w:rsid w:val="00AE4111"/>
    <w:rsid w:val="00AF4C48"/>
    <w:rsid w:val="00C2598F"/>
    <w:rsid w:val="00C376AE"/>
    <w:rsid w:val="00C679D0"/>
    <w:rsid w:val="00C92174"/>
    <w:rsid w:val="00C97CF1"/>
    <w:rsid w:val="00CB3FE3"/>
    <w:rsid w:val="00D11764"/>
    <w:rsid w:val="00D21996"/>
    <w:rsid w:val="00D26D50"/>
    <w:rsid w:val="00D838D3"/>
    <w:rsid w:val="00DC280B"/>
    <w:rsid w:val="00DE361C"/>
    <w:rsid w:val="00E02717"/>
    <w:rsid w:val="00E13CB3"/>
    <w:rsid w:val="00E64874"/>
    <w:rsid w:val="00F3261C"/>
    <w:rsid w:val="00F52C94"/>
    <w:rsid w:val="00F91B2A"/>
    <w:rsid w:val="00FE3DDE"/>
    <w:rsid w:val="00FE6AAA"/>
    <w:rsid w:val="66236C76"/>
    <w:rsid w:val="7009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line="360" w:lineRule="atLeast"/>
      <w:jc w:val="left"/>
      <w:textAlignment w:val="baseline"/>
    </w:pPr>
    <w:rPr>
      <w:rFonts w:hint="eastAsia" w:ascii="Arial" w:hAnsi="Arial" w:eastAsia="黑体"/>
      <w:sz w:val="24"/>
    </w:rPr>
  </w:style>
  <w:style w:type="paragraph" w:styleId="3">
    <w:name w:val="Plain Text"/>
    <w:basedOn w:val="1"/>
    <w:link w:val="10"/>
    <w:uiPriority w:val="0"/>
    <w:rPr>
      <w:rFonts w:ascii="宋体" w:hAnsi="Courier New"/>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0"/>
    <w:rPr>
      <w:sz w:val="18"/>
      <w:szCs w:val="18"/>
    </w:rPr>
  </w:style>
  <w:style w:type="character" w:customStyle="1" w:styleId="9">
    <w:name w:val="页脚 Char"/>
    <w:basedOn w:val="7"/>
    <w:link w:val="4"/>
    <w:semiHidden/>
    <w:uiPriority w:val="99"/>
    <w:rPr>
      <w:sz w:val="18"/>
      <w:szCs w:val="18"/>
    </w:rPr>
  </w:style>
  <w:style w:type="character" w:customStyle="1" w:styleId="10">
    <w:name w:val="纯文本 Char"/>
    <w:basedOn w:val="7"/>
    <w:link w:val="3"/>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F6215-339E-4ABF-9EB2-7C957F2F2A20}">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455</Words>
  <Characters>2595</Characters>
  <Lines>21</Lines>
  <Paragraphs>6</Paragraphs>
  <TotalTime>8</TotalTime>
  <ScaleCrop>false</ScaleCrop>
  <LinksUpToDate>false</LinksUpToDate>
  <CharactersWithSpaces>3044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2018-06-01T01:58:00Z</dcterms:created>
  <dc:creator>mac</dc:creator>
  <cp:lastModifiedBy>Administrator</cp:lastModifiedBy>
  <dcterms:modified xsi:type="dcterms:W3CDTF">2021-10-19T07:19:08Z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16914FD02D4E49ABAF8C483A17596E6F</vt:lpwstr>
  </property>
</Properties>
</file>