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宋体" w:eastAsia="黑体"/>
          <w:color w:val="000000"/>
          <w:spacing w:val="20"/>
          <w:w w:val="105"/>
          <w:sz w:val="48"/>
          <w:szCs w:val="48"/>
        </w:rPr>
      </w:pPr>
      <w:r>
        <w:rPr>
          <w:rFonts w:hint="eastAsia" w:ascii="黑体" w:hAnsi="宋体" w:eastAsia="黑体"/>
          <w:color w:val="000000"/>
          <w:spacing w:val="20"/>
          <w:w w:val="105"/>
          <w:sz w:val="48"/>
          <w:szCs w:val="48"/>
        </w:rPr>
        <w:t>泉州台商投资区2020年产品质量监督</w:t>
      </w:r>
    </w:p>
    <w:p>
      <w:pPr>
        <w:spacing w:line="360" w:lineRule="auto"/>
        <w:jc w:val="center"/>
        <w:rPr>
          <w:rFonts w:ascii="黑体" w:hAnsi="宋体" w:eastAsia="黑体"/>
          <w:color w:val="000000"/>
          <w:spacing w:val="20"/>
          <w:w w:val="105"/>
          <w:sz w:val="48"/>
        </w:rPr>
      </w:pPr>
      <w:bookmarkStart w:id="0" w:name="_GoBack"/>
      <w:bookmarkEnd w:id="0"/>
      <w:r>
        <w:rPr>
          <w:rFonts w:hint="eastAsia" w:ascii="黑体" w:hAnsi="宋体" w:eastAsia="黑体"/>
          <w:color w:val="000000"/>
          <w:spacing w:val="20"/>
          <w:w w:val="105"/>
          <w:sz w:val="48"/>
          <w:szCs w:val="48"/>
        </w:rPr>
        <w:t>抽查实施细则</w:t>
      </w:r>
    </w:p>
    <w:p>
      <w:pPr>
        <w:spacing w:before="240" w:line="360" w:lineRule="auto"/>
        <w:ind w:right="420"/>
        <w:jc w:val="right"/>
        <w:rPr>
          <w:rFonts w:ascii="黑体" w:hAnsi="黑体" w:eastAsia="黑体"/>
          <w:sz w:val="24"/>
          <w:szCs w:val="24"/>
        </w:rPr>
      </w:pPr>
      <w:r>
        <w:rPr>
          <w:rFonts w:ascii="黑体" w:hAnsi="黑体" w:eastAsia="黑体"/>
          <w:sz w:val="24"/>
          <w:szCs w:val="24"/>
        </w:rPr>
        <w:pict>
          <v:line id="_x0000_s1026" o:spid="_x0000_s1026" o:spt="20" style="position:absolute;left:0pt;margin-left:9pt;margin-top:39pt;height:0pt;width:441pt;z-index:1024;mso-width-relative:page;mso-height-relative:page;" stroked="t" coordsize="21600,21600">
            <v:path arrowok="t"/>
            <v:fill focussize="0,0"/>
            <v:stroke weight="1pt" color="#800008"/>
            <v:imagedata o:title=""/>
            <o:lock v:ext="edit"/>
          </v:line>
        </w:pict>
      </w:r>
    </w:p>
    <w:p>
      <w:pPr>
        <w:spacing w:line="360" w:lineRule="auto"/>
      </w:pPr>
      <w:r>
        <w:rPr>
          <w:rFonts w:ascii="宋体" w:hAnsi="宋体"/>
          <w:b/>
        </w:rPr>
        <w:t xml:space="preserve"> </w:t>
      </w: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48"/>
          <w:szCs w:val="48"/>
        </w:rPr>
      </w:pPr>
      <w:r>
        <w:rPr>
          <w:rFonts w:hint="eastAsia" w:ascii="黑体" w:hAnsi="宋体" w:eastAsia="黑体"/>
          <w:color w:val="000000"/>
          <w:sz w:val="48"/>
          <w:szCs w:val="48"/>
        </w:rPr>
        <w:t>防盗安全门</w:t>
      </w: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ascii="黑体" w:hAnsi="宋体" w:eastAsia="黑体"/>
          <w:color w:val="000000"/>
          <w:sz w:val="52"/>
        </w:rPr>
      </w:pPr>
    </w:p>
    <w:p>
      <w:pPr>
        <w:spacing w:line="360" w:lineRule="auto"/>
        <w:jc w:val="center"/>
        <w:rPr>
          <w:rFonts w:eastAsia="Times New Roman"/>
          <w:color w:val="000000"/>
        </w:rPr>
      </w:pPr>
    </w:p>
    <w:p>
      <w:pPr>
        <w:spacing w:line="360" w:lineRule="auto"/>
        <w:jc w:val="center"/>
        <w:rPr>
          <w:rFonts w:ascii="黑体" w:hAnsi="宋体" w:eastAsia="黑体"/>
          <w:color w:val="000000"/>
          <w:sz w:val="28"/>
        </w:rPr>
      </w:pPr>
      <w:r>
        <w:rPr>
          <w:rFonts w:ascii="黑体" w:hAnsi="宋体" w:eastAsia="黑体"/>
          <w:color w:val="000000"/>
          <w:sz w:val="28"/>
        </w:rPr>
        <w:t xml:space="preserve">                            </w:t>
      </w:r>
    </w:p>
    <w:p>
      <w:pPr>
        <w:spacing w:line="360" w:lineRule="auto"/>
        <w:rPr>
          <w:rFonts w:eastAsia="Times New Roman"/>
          <w:color w:val="000000"/>
          <w:u w:val="single"/>
        </w:rPr>
      </w:pPr>
      <w:r>
        <w:pict>
          <v:line id="_x0000_s1027" o:spid="_x0000_s1027" o:spt="20" style="position:absolute;left:0pt;margin-left:0pt;margin-top:2.8pt;height:0pt;width:456.75pt;z-index:1024;mso-width-relative:page;mso-height-relative:page;" stroked="t" coordsize="21600,21600">
            <v:path arrowok="t"/>
            <v:fill focussize="0,0"/>
            <v:stroke weight="1pt" color="#800008"/>
            <v:imagedata o:title=""/>
            <o:lock v:ext="edit"/>
          </v:line>
        </w:pict>
      </w:r>
    </w:p>
    <w:p>
      <w:pPr>
        <w:spacing w:line="360" w:lineRule="auto"/>
        <w:jc w:val="center"/>
        <w:rPr>
          <w:rFonts w:ascii="黑体" w:hAnsi="宋体" w:eastAsia="黑体"/>
          <w:color w:val="000000"/>
          <w:w w:val="148"/>
          <w:sz w:val="36"/>
        </w:rPr>
      </w:pPr>
    </w:p>
    <w:p>
      <w:pPr>
        <w:jc w:val="center"/>
        <w:rPr>
          <w:rFonts w:ascii="宋体" w:hAnsi="宋体"/>
          <w:b/>
          <w:color w:val="000000"/>
          <w:spacing w:val="-14"/>
          <w:sz w:val="36"/>
        </w:rPr>
      </w:pPr>
      <w:r>
        <w:rPr>
          <w:rFonts w:ascii="黑体" w:hAnsi="黑体" w:eastAsia="黑体"/>
          <w:color w:val="000000"/>
          <w:spacing w:val="-14"/>
          <w:sz w:val="36"/>
        </w:rPr>
        <w:br w:type="page"/>
      </w:r>
      <w:r>
        <w:rPr>
          <w:rFonts w:hint="eastAsia" w:ascii="宋体" w:hAnsi="宋体"/>
          <w:b/>
          <w:color w:val="000000"/>
          <w:spacing w:val="-14"/>
          <w:sz w:val="36"/>
        </w:rPr>
        <w:t>泉州台商投资区2020年</w:t>
      </w:r>
    </w:p>
    <w:p>
      <w:pPr>
        <w:spacing w:line="360" w:lineRule="auto"/>
        <w:jc w:val="center"/>
        <w:rPr>
          <w:rFonts w:ascii="黑体" w:hAnsi="黑体" w:eastAsia="黑体"/>
          <w:color w:val="000000"/>
          <w:spacing w:val="-14"/>
          <w:sz w:val="36"/>
        </w:rPr>
      </w:pPr>
      <w:r>
        <w:rPr>
          <w:rFonts w:hint="eastAsia" w:ascii="黑体" w:hAnsi="黑体" w:eastAsia="黑体"/>
          <w:color w:val="000000"/>
          <w:spacing w:val="-14"/>
          <w:sz w:val="36"/>
        </w:rPr>
        <w:t>防盗安全门产品质量监督抽查实施细则</w:t>
      </w:r>
    </w:p>
    <w:p>
      <w:pPr>
        <w:pStyle w:val="2"/>
        <w:snapToGrid w:val="0"/>
        <w:spacing w:line="360" w:lineRule="auto"/>
        <w:ind w:right="210"/>
        <w:jc w:val="right"/>
        <w:rPr>
          <w:rFonts w:hAnsi="宋体" w:eastAsia="Times New Roman"/>
          <w:color w:val="FF0000"/>
          <w:sz w:val="24"/>
          <w:szCs w:val="24"/>
          <w:u w:val="single"/>
        </w:rPr>
      </w:pPr>
      <w:r>
        <w:pict>
          <v:shape id="_x0000_s1028" o:spid="_x0000_s1028" o:spt="32" type="#_x0000_t32" style="position:absolute;left:0pt;margin-left:-10.5pt;margin-top:15.6pt;height:0pt;width:467.25pt;z-index:1024;mso-width-relative:page;mso-height-relative:page;" o:connectortype="straight" filled="f" coordsize="21600,21600">
            <v:path arrowok="t"/>
            <v:fill on="f" focussize="0,0"/>
            <v:stroke/>
            <v:imagedata o:title=""/>
            <o:lock v:ext="edit"/>
          </v:shape>
        </w:pict>
      </w:r>
    </w:p>
    <w:p>
      <w:pPr>
        <w:snapToGrid w:val="0"/>
        <w:spacing w:line="360" w:lineRule="auto"/>
        <w:rPr>
          <w:rFonts w:ascii="宋体"/>
          <w:b/>
          <w:color w:val="000000"/>
          <w:szCs w:val="21"/>
        </w:rPr>
      </w:pPr>
      <w:r>
        <w:rPr>
          <w:rFonts w:ascii="宋体" w:hAnsi="宋体"/>
          <w:b/>
          <w:color w:val="000000"/>
          <w:szCs w:val="21"/>
        </w:rPr>
        <w:t>1</w:t>
      </w:r>
      <w:r>
        <w:rPr>
          <w:rFonts w:hint="eastAsia" w:ascii="宋体" w:hAnsi="宋体"/>
          <w:b/>
          <w:color w:val="000000"/>
          <w:szCs w:val="21"/>
        </w:rPr>
        <w:t>适用范围</w:t>
      </w:r>
    </w:p>
    <w:p>
      <w:pPr>
        <w:snapToGrid w:val="0"/>
        <w:spacing w:line="360" w:lineRule="auto"/>
        <w:ind w:firstLine="403" w:firstLineChars="192"/>
        <w:rPr>
          <w:rFonts w:ascii="宋体"/>
          <w:color w:val="000000"/>
          <w:szCs w:val="21"/>
        </w:rPr>
      </w:pPr>
      <w:r>
        <w:rPr>
          <w:rFonts w:hint="eastAsia" w:ascii="宋体" w:hAnsi="宋体"/>
          <w:color w:val="000000"/>
          <w:szCs w:val="21"/>
        </w:rPr>
        <w:t>本细则适用于防盗安全门产品监督抽查，内容包括产品分类、术语与定义、企业规模划分、检验依据、抽样要求、检验要求、判定原则、异议处理原则及附则。</w:t>
      </w:r>
    </w:p>
    <w:p>
      <w:pPr>
        <w:snapToGrid w:val="0"/>
        <w:spacing w:line="360" w:lineRule="auto"/>
        <w:ind w:firstLine="345" w:firstLineChars="192"/>
        <w:rPr>
          <w:rFonts w:ascii="宋体"/>
          <w:color w:val="000000"/>
          <w:szCs w:val="21"/>
        </w:rPr>
      </w:pPr>
      <w:r>
        <w:rPr>
          <w:rFonts w:hint="eastAsia" w:ascii="宋体" w:hAnsi="宋体"/>
          <w:color w:val="000000"/>
          <w:sz w:val="18"/>
          <w:szCs w:val="18"/>
        </w:rPr>
        <w:t>注：针对特殊情况的专项抽查可参照执行</w:t>
      </w:r>
      <w:r>
        <w:rPr>
          <w:rFonts w:hint="eastAsia" w:ascii="宋体" w:hAnsi="宋体"/>
          <w:color w:val="000000"/>
          <w:szCs w:val="21"/>
        </w:rPr>
        <w:t>。</w:t>
      </w:r>
    </w:p>
    <w:p>
      <w:pPr>
        <w:snapToGrid w:val="0"/>
        <w:spacing w:line="360" w:lineRule="auto"/>
        <w:rPr>
          <w:rFonts w:ascii="宋体"/>
          <w:b/>
          <w:color w:val="000000"/>
          <w:szCs w:val="21"/>
        </w:rPr>
      </w:pPr>
      <w:r>
        <w:rPr>
          <w:rFonts w:ascii="宋体" w:hAnsi="宋体"/>
          <w:b/>
          <w:color w:val="000000"/>
          <w:szCs w:val="21"/>
        </w:rPr>
        <w:t>2</w:t>
      </w:r>
      <w:r>
        <w:rPr>
          <w:rFonts w:hint="eastAsia" w:ascii="宋体" w:hAnsi="宋体"/>
          <w:b/>
          <w:color w:val="000000"/>
          <w:szCs w:val="21"/>
        </w:rPr>
        <w:t>产品分类</w:t>
      </w:r>
    </w:p>
    <w:p>
      <w:pPr>
        <w:snapToGrid w:val="0"/>
        <w:spacing w:line="360" w:lineRule="auto"/>
        <w:ind w:firstLine="420" w:firstLineChars="200"/>
        <w:rPr>
          <w:rFonts w:ascii="宋体"/>
          <w:color w:val="000000"/>
          <w:szCs w:val="21"/>
        </w:rPr>
      </w:pPr>
      <w:r>
        <w:rPr>
          <w:rFonts w:hint="eastAsia" w:ascii="宋体" w:hAnsi="宋体"/>
          <w:color w:val="000000"/>
          <w:szCs w:val="21"/>
        </w:rPr>
        <w:t>分类共分</w:t>
      </w:r>
      <w:r>
        <w:rPr>
          <w:rFonts w:ascii="宋体" w:hAnsi="宋体"/>
          <w:color w:val="000000"/>
          <w:szCs w:val="21"/>
        </w:rPr>
        <w:t>4</w:t>
      </w:r>
      <w:r>
        <w:rPr>
          <w:rFonts w:hint="eastAsia" w:ascii="宋体" w:hAnsi="宋体"/>
          <w:color w:val="000000"/>
          <w:szCs w:val="21"/>
        </w:rPr>
        <w:t>级，中文代号分别为“甲”、“乙”、“丙”、“丁”，拼音字母代号分别为“</w:t>
      </w:r>
      <w:r>
        <w:rPr>
          <w:rFonts w:ascii="宋体" w:hAnsi="宋体"/>
          <w:color w:val="000000"/>
          <w:szCs w:val="21"/>
        </w:rPr>
        <w:t>J</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B</w:t>
      </w:r>
      <w:r>
        <w:rPr>
          <w:rFonts w:hint="eastAsia" w:ascii="宋体" w:hAnsi="宋体"/>
          <w:color w:val="000000"/>
          <w:szCs w:val="21"/>
        </w:rPr>
        <w:t>”、“</w:t>
      </w:r>
      <w:r>
        <w:rPr>
          <w:rFonts w:ascii="宋体" w:hAnsi="宋体"/>
          <w:color w:val="000000"/>
          <w:szCs w:val="21"/>
        </w:rPr>
        <w:t>D</w:t>
      </w:r>
      <w:r>
        <w:rPr>
          <w:rFonts w:hint="eastAsia" w:ascii="宋体" w:hAnsi="宋体"/>
          <w:color w:val="000000"/>
          <w:szCs w:val="21"/>
        </w:rPr>
        <w:t>”，甲级最高，依此递减。</w:t>
      </w:r>
    </w:p>
    <w:p>
      <w:pPr>
        <w:snapToGrid w:val="0"/>
        <w:spacing w:line="360" w:lineRule="auto"/>
        <w:rPr>
          <w:rFonts w:ascii="宋体"/>
          <w:b/>
          <w:color w:val="000000"/>
          <w:szCs w:val="21"/>
        </w:rPr>
      </w:pPr>
      <w:r>
        <w:rPr>
          <w:rFonts w:ascii="宋体" w:hAnsi="宋体"/>
          <w:b/>
          <w:color w:val="000000"/>
          <w:szCs w:val="21"/>
        </w:rPr>
        <w:t>3</w:t>
      </w:r>
      <w:r>
        <w:rPr>
          <w:rFonts w:hint="eastAsia" w:ascii="宋体" w:hAnsi="宋体"/>
          <w:b/>
          <w:color w:val="000000"/>
          <w:szCs w:val="21"/>
        </w:rPr>
        <w:t>术语和定义</w:t>
      </w:r>
    </w:p>
    <w:p>
      <w:pPr>
        <w:snapToGrid w:val="0"/>
        <w:spacing w:line="360" w:lineRule="auto"/>
        <w:ind w:firstLine="420" w:firstLineChars="200"/>
        <w:rPr>
          <w:rFonts w:ascii="宋体"/>
          <w:color w:val="000000"/>
          <w:szCs w:val="21"/>
        </w:rPr>
      </w:pPr>
      <w:r>
        <w:rPr>
          <w:rFonts w:hint="eastAsia" w:ascii="宋体" w:hAnsi="宋体"/>
          <w:color w:val="000000"/>
          <w:szCs w:val="21"/>
        </w:rPr>
        <w:t>本细则中未列出的术语和定义同相关引用标准。</w:t>
      </w:r>
    </w:p>
    <w:p>
      <w:pPr>
        <w:snapToGrid w:val="0"/>
        <w:spacing w:line="360" w:lineRule="auto"/>
        <w:rPr>
          <w:rFonts w:ascii="宋体"/>
          <w:b/>
          <w:color w:val="000000"/>
          <w:szCs w:val="21"/>
        </w:rPr>
      </w:pPr>
      <w:r>
        <w:rPr>
          <w:rFonts w:ascii="宋体" w:hAnsi="宋体"/>
          <w:b/>
          <w:color w:val="000000"/>
          <w:szCs w:val="21"/>
        </w:rPr>
        <w:t xml:space="preserve">4 </w:t>
      </w:r>
      <w:r>
        <w:rPr>
          <w:rFonts w:hint="eastAsia" w:ascii="宋体" w:hAnsi="宋体"/>
          <w:b/>
          <w:color w:val="000000"/>
          <w:szCs w:val="21"/>
        </w:rPr>
        <w:t>企业规模划分</w:t>
      </w:r>
    </w:p>
    <w:p>
      <w:pPr>
        <w:snapToGrid w:val="0"/>
        <w:spacing w:line="360" w:lineRule="auto"/>
        <w:ind w:firstLine="403" w:firstLineChars="192"/>
        <w:rPr>
          <w:rFonts w:ascii="宋体"/>
          <w:color w:val="000000"/>
          <w:szCs w:val="21"/>
        </w:rPr>
      </w:pPr>
      <w:r>
        <w:rPr>
          <w:rFonts w:hint="eastAsia" w:ascii="宋体" w:hAnsi="宋体"/>
          <w:color w:val="000000"/>
          <w:szCs w:val="21"/>
        </w:rPr>
        <w:t>根据防盗安全门产品行业的实际情况，生产企业规模以防盗安全门产品年销售额为标准划分为大、中、小型企业。见表</w:t>
      </w:r>
      <w:r>
        <w:rPr>
          <w:rFonts w:ascii="宋体" w:hAnsi="宋体"/>
          <w:color w:val="000000"/>
          <w:szCs w:val="21"/>
        </w:rPr>
        <w:t>1</w:t>
      </w:r>
      <w:r>
        <w:rPr>
          <w:rFonts w:hint="eastAsia" w:ascii="宋体" w:hAnsi="宋体"/>
          <w:color w:val="000000"/>
          <w:szCs w:val="21"/>
        </w:rPr>
        <w:t>。</w:t>
      </w:r>
    </w:p>
    <w:p>
      <w:pPr>
        <w:snapToGrid w:val="0"/>
        <w:spacing w:line="360" w:lineRule="auto"/>
        <w:ind w:firstLine="403" w:firstLineChars="192"/>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企业规模划分</w:t>
      </w:r>
    </w:p>
    <w:tbl>
      <w:tblPr>
        <w:tblStyle w:val="6"/>
        <w:tblW w:w="8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207"/>
        <w:gridCol w:w="2207"/>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6" w:type="dxa"/>
            <w:vAlign w:val="center"/>
          </w:tcPr>
          <w:p>
            <w:pPr>
              <w:snapToGrid w:val="0"/>
              <w:jc w:val="center"/>
              <w:rPr>
                <w:rFonts w:ascii="宋体"/>
                <w:color w:val="000000"/>
                <w:szCs w:val="21"/>
              </w:rPr>
            </w:pPr>
            <w:r>
              <w:rPr>
                <w:rFonts w:hint="eastAsia" w:ascii="宋体" w:hAnsi="宋体"/>
                <w:color w:val="000000"/>
                <w:szCs w:val="21"/>
              </w:rPr>
              <w:t>企业规模</w:t>
            </w:r>
          </w:p>
        </w:tc>
        <w:tc>
          <w:tcPr>
            <w:tcW w:w="2207" w:type="dxa"/>
            <w:vAlign w:val="center"/>
          </w:tcPr>
          <w:p>
            <w:pPr>
              <w:snapToGrid w:val="0"/>
              <w:jc w:val="center"/>
              <w:rPr>
                <w:rFonts w:ascii="宋体"/>
                <w:color w:val="000000"/>
                <w:szCs w:val="21"/>
              </w:rPr>
            </w:pPr>
            <w:r>
              <w:rPr>
                <w:rFonts w:hint="eastAsia" w:ascii="宋体" w:hAnsi="宋体"/>
                <w:color w:val="000000"/>
                <w:szCs w:val="21"/>
              </w:rPr>
              <w:t>大型企业</w:t>
            </w:r>
          </w:p>
        </w:tc>
        <w:tc>
          <w:tcPr>
            <w:tcW w:w="2207" w:type="dxa"/>
            <w:vAlign w:val="center"/>
          </w:tcPr>
          <w:p>
            <w:pPr>
              <w:snapToGrid w:val="0"/>
              <w:jc w:val="center"/>
              <w:rPr>
                <w:rFonts w:ascii="宋体"/>
                <w:color w:val="000000"/>
                <w:szCs w:val="21"/>
              </w:rPr>
            </w:pPr>
            <w:r>
              <w:rPr>
                <w:rFonts w:hint="eastAsia" w:ascii="宋体" w:hAnsi="宋体"/>
                <w:color w:val="000000"/>
                <w:szCs w:val="21"/>
              </w:rPr>
              <w:t>中型企业</w:t>
            </w:r>
          </w:p>
        </w:tc>
        <w:tc>
          <w:tcPr>
            <w:tcW w:w="2207" w:type="dxa"/>
            <w:vAlign w:val="center"/>
          </w:tcPr>
          <w:p>
            <w:pPr>
              <w:snapToGrid w:val="0"/>
              <w:jc w:val="center"/>
              <w:rPr>
                <w:rFonts w:ascii="宋体"/>
                <w:color w:val="000000"/>
                <w:szCs w:val="21"/>
              </w:rPr>
            </w:pPr>
            <w:r>
              <w:rPr>
                <w:rFonts w:hint="eastAsia" w:ascii="宋体" w:hAnsi="宋体"/>
                <w:color w:val="000000"/>
                <w:szCs w:val="21"/>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6" w:type="dxa"/>
            <w:vAlign w:val="center"/>
          </w:tcPr>
          <w:p>
            <w:pPr>
              <w:snapToGrid w:val="0"/>
              <w:jc w:val="center"/>
              <w:rPr>
                <w:rFonts w:ascii="宋体"/>
                <w:color w:val="000000"/>
                <w:szCs w:val="21"/>
              </w:rPr>
            </w:pPr>
            <w:r>
              <w:rPr>
                <w:rFonts w:hint="eastAsia" w:ascii="宋体" w:hAnsi="宋体"/>
                <w:color w:val="000000"/>
                <w:szCs w:val="21"/>
              </w:rPr>
              <w:t>销售额</w:t>
            </w:r>
            <w:r>
              <w:rPr>
                <w:rFonts w:ascii="宋体" w:hAnsi="宋体"/>
                <w:color w:val="000000"/>
                <w:szCs w:val="21"/>
              </w:rPr>
              <w:t>/</w:t>
            </w:r>
            <w:r>
              <w:rPr>
                <w:rFonts w:hint="eastAsia" w:ascii="宋体" w:hAnsi="宋体"/>
                <w:color w:val="000000"/>
                <w:szCs w:val="21"/>
              </w:rPr>
              <w:t>万元</w:t>
            </w:r>
          </w:p>
        </w:tc>
        <w:tc>
          <w:tcPr>
            <w:tcW w:w="2207" w:type="dxa"/>
            <w:vAlign w:val="center"/>
          </w:tcPr>
          <w:p>
            <w:pPr>
              <w:snapToGrid w:val="0"/>
              <w:jc w:val="center"/>
              <w:rPr>
                <w:rFonts w:ascii="宋体" w:hAnsi="宋体"/>
                <w:color w:val="000000"/>
                <w:szCs w:val="21"/>
              </w:rPr>
            </w:pPr>
            <w:r>
              <w:rPr>
                <w:rFonts w:hint="eastAsia" w:ascii="宋体" w:hAnsi="宋体"/>
                <w:color w:val="000000"/>
                <w:szCs w:val="21"/>
              </w:rPr>
              <w:t>≥</w:t>
            </w:r>
            <w:r>
              <w:rPr>
                <w:rFonts w:ascii="宋体" w:hAnsi="宋体"/>
                <w:color w:val="000000"/>
                <w:szCs w:val="21"/>
              </w:rPr>
              <w:t>10000</w:t>
            </w:r>
          </w:p>
        </w:tc>
        <w:tc>
          <w:tcPr>
            <w:tcW w:w="2207" w:type="dxa"/>
            <w:vAlign w:val="center"/>
          </w:tcPr>
          <w:p>
            <w:pPr>
              <w:snapToGrid w:val="0"/>
              <w:jc w:val="center"/>
              <w:rPr>
                <w:rFonts w:ascii="宋体" w:hAnsi="宋体"/>
                <w:color w:val="000000"/>
                <w:szCs w:val="21"/>
              </w:rPr>
            </w:pPr>
            <w:r>
              <w:rPr>
                <w:rFonts w:hint="eastAsia" w:ascii="宋体" w:hAnsi="宋体"/>
                <w:color w:val="000000"/>
                <w:szCs w:val="21"/>
              </w:rPr>
              <w:t>≥</w:t>
            </w:r>
            <w:r>
              <w:rPr>
                <w:rFonts w:ascii="宋体" w:hAnsi="宋体"/>
                <w:color w:val="000000"/>
                <w:szCs w:val="21"/>
              </w:rPr>
              <w:t>3000</w:t>
            </w:r>
            <w:r>
              <w:rPr>
                <w:rFonts w:hint="eastAsia" w:ascii="宋体" w:hAnsi="宋体"/>
                <w:color w:val="000000"/>
                <w:szCs w:val="21"/>
              </w:rPr>
              <w:t>且＜</w:t>
            </w:r>
            <w:r>
              <w:rPr>
                <w:rFonts w:ascii="宋体" w:hAnsi="宋体"/>
                <w:color w:val="000000"/>
                <w:szCs w:val="21"/>
              </w:rPr>
              <w:t>10000</w:t>
            </w:r>
          </w:p>
        </w:tc>
        <w:tc>
          <w:tcPr>
            <w:tcW w:w="2207" w:type="dxa"/>
            <w:vAlign w:val="center"/>
          </w:tcPr>
          <w:p>
            <w:pPr>
              <w:snapToGrid w:val="0"/>
              <w:jc w:val="center"/>
              <w:rPr>
                <w:rFonts w:ascii="宋体" w:hAnsi="宋体"/>
                <w:color w:val="000000"/>
                <w:szCs w:val="21"/>
              </w:rPr>
            </w:pPr>
            <w:r>
              <w:rPr>
                <w:rFonts w:hint="eastAsia" w:ascii="宋体" w:hAnsi="宋体"/>
                <w:color w:val="000000"/>
                <w:szCs w:val="21"/>
              </w:rPr>
              <w:t>＜</w:t>
            </w:r>
            <w:r>
              <w:rPr>
                <w:rFonts w:ascii="宋体" w:hAnsi="宋体"/>
                <w:color w:val="000000"/>
                <w:szCs w:val="21"/>
              </w:rPr>
              <w:t>3000</w:t>
            </w:r>
          </w:p>
        </w:tc>
      </w:tr>
    </w:tbl>
    <w:p>
      <w:pPr>
        <w:snapToGrid w:val="0"/>
        <w:spacing w:line="360" w:lineRule="auto"/>
        <w:ind w:firstLine="358" w:firstLineChars="199"/>
        <w:rPr>
          <w:rFonts w:ascii="宋体"/>
          <w:i/>
          <w:szCs w:val="21"/>
        </w:rPr>
      </w:pPr>
      <w:r>
        <w:rPr>
          <w:rFonts w:hint="eastAsia" w:ascii="宋体" w:hAnsi="宋体"/>
          <w:sz w:val="18"/>
          <w:szCs w:val="18"/>
        </w:rPr>
        <w:t>备注：年销售额包括该类产品的内销和外销总额。</w:t>
      </w:r>
    </w:p>
    <w:p>
      <w:pPr>
        <w:pStyle w:val="2"/>
        <w:snapToGrid w:val="0"/>
        <w:spacing w:line="360" w:lineRule="auto"/>
        <w:rPr>
          <w:rFonts w:hAnsi="宋体"/>
          <w:b/>
          <w:color w:val="000000"/>
          <w:szCs w:val="21"/>
        </w:rPr>
      </w:pPr>
      <w:r>
        <w:rPr>
          <w:rFonts w:hAnsi="宋体"/>
          <w:b/>
          <w:color w:val="000000"/>
          <w:szCs w:val="21"/>
        </w:rPr>
        <w:t xml:space="preserve">5 </w:t>
      </w:r>
      <w:r>
        <w:rPr>
          <w:rFonts w:hint="eastAsia" w:hAnsi="宋体"/>
          <w:b/>
          <w:color w:val="000000"/>
          <w:szCs w:val="21"/>
        </w:rPr>
        <w:t>检验依据</w:t>
      </w:r>
    </w:p>
    <w:p>
      <w:pPr>
        <w:widowControl/>
        <w:snapToGrid w:val="0"/>
        <w:spacing w:line="360" w:lineRule="auto"/>
        <w:ind w:firstLine="420" w:firstLineChars="200"/>
        <w:rPr>
          <w:rFonts w:ascii="宋体"/>
          <w:color w:val="000000"/>
          <w:szCs w:val="21"/>
        </w:rPr>
      </w:pPr>
      <w:r>
        <w:rPr>
          <w:rFonts w:hint="eastAsia" w:ascii="宋体" w:hAnsi="宋体"/>
          <w:color w:val="000000"/>
          <w:szCs w:val="21"/>
        </w:rPr>
        <w:t>凡是注日期的文件，其随后所有的修改单（不包括勘误的内容）或修订版不适用于本细则。凡是不注日期的文件，其最新版本适用于本细则。</w:t>
      </w:r>
    </w:p>
    <w:p>
      <w:pPr>
        <w:widowControl/>
        <w:snapToGrid w:val="0"/>
        <w:spacing w:line="360" w:lineRule="auto"/>
        <w:ind w:firstLine="420" w:firstLineChars="200"/>
        <w:rPr>
          <w:rFonts w:ascii="宋体"/>
          <w:color w:val="000000"/>
          <w:szCs w:val="21"/>
        </w:rPr>
      </w:pPr>
      <w:r>
        <w:rPr>
          <w:rFonts w:ascii="宋体" w:hAnsi="宋体"/>
          <w:color w:val="000000"/>
          <w:szCs w:val="21"/>
        </w:rPr>
        <w:t>GB 17565-2007</w:t>
      </w:r>
      <w:r>
        <w:rPr>
          <w:rFonts w:hint="eastAsia" w:ascii="宋体" w:hAnsi="宋体"/>
          <w:color w:val="000000"/>
          <w:szCs w:val="21"/>
        </w:rPr>
        <w:t>防盗安全门通用技术条件</w:t>
      </w:r>
    </w:p>
    <w:p>
      <w:pPr>
        <w:widowControl/>
        <w:snapToGrid w:val="0"/>
        <w:spacing w:line="360" w:lineRule="auto"/>
        <w:ind w:firstLine="420" w:firstLineChars="200"/>
        <w:rPr>
          <w:rFonts w:ascii="宋体"/>
          <w:color w:val="000000"/>
          <w:szCs w:val="21"/>
        </w:rPr>
      </w:pPr>
      <w:r>
        <w:rPr>
          <w:rFonts w:hint="eastAsia" w:ascii="宋体" w:hAnsi="宋体"/>
          <w:color w:val="000000"/>
          <w:szCs w:val="21"/>
        </w:rPr>
        <w:t>相关的法律法规、部门规章和规定</w:t>
      </w:r>
    </w:p>
    <w:p>
      <w:pPr>
        <w:snapToGrid w:val="0"/>
        <w:spacing w:line="360" w:lineRule="auto"/>
        <w:ind w:firstLine="420" w:firstLineChars="200"/>
        <w:rPr>
          <w:rFonts w:ascii="宋体"/>
          <w:color w:val="000000"/>
          <w:szCs w:val="21"/>
        </w:rPr>
      </w:pPr>
      <w:r>
        <w:rPr>
          <w:rFonts w:hint="eastAsia" w:ascii="宋体" w:hAnsi="宋体"/>
          <w:color w:val="000000"/>
          <w:szCs w:val="21"/>
        </w:rPr>
        <w:t>经网上自我公开声明或备案现行有效的企业标准及产品明示质量要求</w:t>
      </w:r>
    </w:p>
    <w:p>
      <w:pPr>
        <w:pStyle w:val="2"/>
        <w:snapToGrid w:val="0"/>
        <w:spacing w:line="360" w:lineRule="auto"/>
        <w:rPr>
          <w:rFonts w:hAnsi="宋体"/>
          <w:b/>
          <w:color w:val="000000"/>
          <w:szCs w:val="21"/>
        </w:rPr>
      </w:pPr>
      <w:r>
        <w:rPr>
          <w:rFonts w:hAnsi="宋体"/>
          <w:b/>
          <w:color w:val="000000"/>
          <w:szCs w:val="21"/>
        </w:rPr>
        <w:t xml:space="preserve">6 </w:t>
      </w:r>
      <w:r>
        <w:rPr>
          <w:rFonts w:hint="eastAsia" w:hAnsi="宋体"/>
          <w:b/>
          <w:color w:val="000000"/>
          <w:szCs w:val="21"/>
        </w:rPr>
        <w:t>抽样要求</w:t>
      </w:r>
    </w:p>
    <w:p>
      <w:pPr>
        <w:spacing w:line="360" w:lineRule="auto"/>
        <w:rPr>
          <w:rFonts w:ascii="宋体"/>
          <w:color w:val="000000"/>
          <w:szCs w:val="21"/>
        </w:rPr>
      </w:pPr>
      <w:r>
        <w:rPr>
          <w:rFonts w:ascii="宋体" w:hAnsi="宋体"/>
          <w:color w:val="000000"/>
          <w:szCs w:val="21"/>
        </w:rPr>
        <w:t>6.1</w:t>
      </w:r>
      <w:r>
        <w:rPr>
          <w:rFonts w:hint="eastAsia" w:ascii="宋体" w:hAnsi="宋体"/>
          <w:color w:val="000000"/>
          <w:szCs w:val="21"/>
        </w:rPr>
        <w:t>抽样型号或规格</w:t>
      </w:r>
    </w:p>
    <w:p>
      <w:pPr>
        <w:spacing w:line="360" w:lineRule="auto"/>
        <w:rPr>
          <w:rFonts w:ascii="宋体"/>
          <w:color w:val="000000"/>
          <w:szCs w:val="21"/>
        </w:rPr>
      </w:pPr>
      <w:r>
        <w:rPr>
          <w:rFonts w:hint="eastAsia" w:ascii="宋体" w:hAnsi="宋体"/>
          <w:color w:val="000000"/>
          <w:szCs w:val="21"/>
        </w:rPr>
        <w:t>抽样样品应为同一型号（货号）规格、同一批次的产品。</w:t>
      </w:r>
    </w:p>
    <w:p>
      <w:pPr>
        <w:spacing w:line="360" w:lineRule="auto"/>
        <w:rPr>
          <w:rFonts w:ascii="宋体"/>
          <w:color w:val="000000"/>
          <w:szCs w:val="21"/>
        </w:rPr>
      </w:pPr>
      <w:r>
        <w:rPr>
          <w:rFonts w:ascii="宋体" w:hAnsi="宋体"/>
          <w:color w:val="000000"/>
          <w:szCs w:val="21"/>
        </w:rPr>
        <w:t>6.2</w:t>
      </w:r>
      <w:r>
        <w:rPr>
          <w:rFonts w:hint="eastAsia" w:ascii="宋体" w:hAnsi="宋体"/>
          <w:color w:val="000000"/>
          <w:szCs w:val="21"/>
        </w:rPr>
        <w:t>抽样方法</w:t>
      </w:r>
    </w:p>
    <w:p>
      <w:pPr>
        <w:snapToGrid w:val="0"/>
        <w:spacing w:line="360" w:lineRule="auto"/>
        <w:ind w:firstLine="420" w:firstLineChars="200"/>
        <w:rPr>
          <w:rFonts w:ascii="宋体"/>
          <w:color w:val="000000"/>
          <w:szCs w:val="21"/>
        </w:rPr>
      </w:pPr>
      <w:r>
        <w:rPr>
          <w:rFonts w:hint="eastAsia" w:ascii="宋体" w:hAnsi="宋体"/>
          <w:color w:val="000000"/>
          <w:szCs w:val="21"/>
        </w:rPr>
        <w:t>在企业成品存放区或市场销售柜台</w:t>
      </w:r>
      <w:r>
        <w:rPr>
          <w:rFonts w:hint="eastAsia" w:ascii="宋体" w:hAnsi="宋体"/>
          <w:color w:val="000000"/>
          <w:kern w:val="0"/>
          <w:szCs w:val="21"/>
        </w:rPr>
        <w:t>或待</w:t>
      </w:r>
      <w:r>
        <w:rPr>
          <w:rFonts w:hint="eastAsia" w:ascii="宋体" w:hAnsi="宋体"/>
          <w:color w:val="000000"/>
          <w:szCs w:val="21"/>
        </w:rPr>
        <w:t>销</w:t>
      </w:r>
      <w:r>
        <w:rPr>
          <w:rFonts w:hint="eastAsia" w:ascii="宋体" w:hAnsi="宋体"/>
          <w:color w:val="000000"/>
          <w:kern w:val="0"/>
          <w:szCs w:val="21"/>
        </w:rPr>
        <w:t>仓库内</w:t>
      </w:r>
      <w:r>
        <w:rPr>
          <w:rFonts w:hint="eastAsia" w:ascii="宋体" w:hAnsi="宋体"/>
          <w:color w:val="000000"/>
          <w:szCs w:val="21"/>
        </w:rPr>
        <w:t>，随机抽取经企业检验合格或以任何方式表明合格的产品。随机抽取同一批号、同一型号规格</w:t>
      </w:r>
      <w:r>
        <w:rPr>
          <w:rFonts w:hint="eastAsia" w:ascii="宋体" w:hAnsi="宋体"/>
          <w:color w:val="000000"/>
          <w:kern w:val="0"/>
          <w:szCs w:val="21"/>
        </w:rPr>
        <w:t>等级的</w:t>
      </w:r>
      <w:r>
        <w:rPr>
          <w:rFonts w:ascii="宋体" w:hAnsi="宋体"/>
          <w:color w:val="000000"/>
          <w:kern w:val="0"/>
          <w:szCs w:val="21"/>
        </w:rPr>
        <w:t>2</w:t>
      </w:r>
      <w:r>
        <w:rPr>
          <w:rFonts w:hint="eastAsia" w:ascii="宋体" w:hAnsi="宋体"/>
          <w:color w:val="000000"/>
          <w:kern w:val="0"/>
          <w:szCs w:val="21"/>
        </w:rPr>
        <w:t>樘</w:t>
      </w:r>
      <w:r>
        <w:rPr>
          <w:rFonts w:hint="eastAsia" w:ascii="宋体" w:hAnsi="宋体"/>
          <w:color w:val="000000"/>
          <w:szCs w:val="21"/>
        </w:rPr>
        <w:t>产品。</w:t>
      </w:r>
    </w:p>
    <w:p>
      <w:pPr>
        <w:spacing w:line="360" w:lineRule="auto"/>
        <w:rPr>
          <w:rFonts w:ascii="宋体"/>
          <w:color w:val="000000"/>
          <w:szCs w:val="21"/>
        </w:rPr>
      </w:pPr>
      <w:r>
        <w:rPr>
          <w:rFonts w:hint="eastAsia" w:ascii="宋体" w:hAnsi="宋体"/>
          <w:color w:val="000000"/>
          <w:szCs w:val="21"/>
        </w:rPr>
        <w:t>抽样基数</w:t>
      </w:r>
    </w:p>
    <w:p>
      <w:pPr>
        <w:spacing w:line="360" w:lineRule="auto"/>
        <w:rPr>
          <w:rFonts w:ascii="宋体"/>
          <w:color w:val="000000"/>
          <w:szCs w:val="21"/>
        </w:rPr>
      </w:pPr>
      <w:r>
        <w:rPr>
          <w:rFonts w:ascii="宋体" w:hAnsi="宋体"/>
          <w:color w:val="000000"/>
          <w:szCs w:val="21"/>
        </w:rPr>
        <w:t>6.3</w:t>
      </w:r>
      <w:r>
        <w:rPr>
          <w:rFonts w:hint="eastAsia" w:ascii="宋体" w:hAnsi="宋体"/>
          <w:color w:val="000000"/>
          <w:szCs w:val="21"/>
        </w:rPr>
        <w:t>抽样基数</w:t>
      </w:r>
    </w:p>
    <w:p>
      <w:pPr>
        <w:spacing w:line="360" w:lineRule="auto"/>
        <w:ind w:firstLine="420" w:firstLineChars="200"/>
        <w:rPr>
          <w:rFonts w:ascii="宋体"/>
          <w:color w:val="000000"/>
          <w:szCs w:val="21"/>
        </w:rPr>
      </w:pPr>
      <w:r>
        <w:rPr>
          <w:rFonts w:hint="eastAsia" w:ascii="宋体" w:hAnsi="宋体"/>
          <w:color w:val="000000"/>
          <w:szCs w:val="21"/>
        </w:rPr>
        <w:t>抽样基数满足抽样数量即可。</w:t>
      </w:r>
    </w:p>
    <w:p>
      <w:pPr>
        <w:spacing w:line="360" w:lineRule="auto"/>
        <w:rPr>
          <w:rFonts w:ascii="宋体"/>
          <w:color w:val="000000"/>
          <w:szCs w:val="21"/>
        </w:rPr>
      </w:pPr>
      <w:r>
        <w:rPr>
          <w:rFonts w:ascii="宋体" w:hAnsi="宋体"/>
          <w:color w:val="000000"/>
          <w:szCs w:val="21"/>
        </w:rPr>
        <w:t>6.4</w:t>
      </w:r>
      <w:r>
        <w:rPr>
          <w:rFonts w:hint="eastAsia" w:ascii="宋体" w:hAnsi="宋体"/>
          <w:color w:val="000000"/>
          <w:szCs w:val="21"/>
        </w:rPr>
        <w:t>抽样数量</w:t>
      </w:r>
    </w:p>
    <w:p>
      <w:pPr>
        <w:snapToGrid w:val="0"/>
        <w:spacing w:line="360" w:lineRule="auto"/>
        <w:ind w:firstLine="420" w:firstLineChars="200"/>
        <w:rPr>
          <w:rFonts w:ascii="宋体"/>
          <w:color w:val="000000"/>
          <w:szCs w:val="21"/>
        </w:rPr>
      </w:pPr>
      <w:r>
        <w:rPr>
          <w:rFonts w:hint="eastAsia" w:ascii="宋体" w:hAnsi="宋体"/>
          <w:color w:val="000000"/>
          <w:szCs w:val="21"/>
        </w:rPr>
        <w:t>随机抽取同一批号、同一型号规格、同一</w:t>
      </w:r>
      <w:r>
        <w:rPr>
          <w:rFonts w:hint="eastAsia" w:ascii="宋体" w:hAnsi="宋体"/>
          <w:color w:val="000000"/>
          <w:kern w:val="0"/>
          <w:szCs w:val="21"/>
        </w:rPr>
        <w:t>等级的</w:t>
      </w:r>
      <w:r>
        <w:rPr>
          <w:rFonts w:ascii="宋体" w:hAnsi="宋体"/>
          <w:color w:val="000000"/>
          <w:kern w:val="0"/>
          <w:szCs w:val="21"/>
        </w:rPr>
        <w:t>2</w:t>
      </w:r>
      <w:r>
        <w:rPr>
          <w:rFonts w:hint="eastAsia" w:ascii="宋体" w:hAnsi="宋体"/>
          <w:color w:val="000000"/>
          <w:kern w:val="0"/>
          <w:szCs w:val="21"/>
        </w:rPr>
        <w:t>樘</w:t>
      </w:r>
      <w:r>
        <w:rPr>
          <w:rFonts w:hint="eastAsia" w:ascii="宋体" w:hAnsi="宋体"/>
          <w:color w:val="000000"/>
          <w:szCs w:val="21"/>
        </w:rPr>
        <w:t>产品。在所抽取的</w:t>
      </w:r>
      <w:r>
        <w:rPr>
          <w:rFonts w:ascii="宋体" w:hAnsi="宋体"/>
          <w:color w:val="000000"/>
          <w:szCs w:val="21"/>
        </w:rPr>
        <w:t>2</w:t>
      </w:r>
      <w:r>
        <w:rPr>
          <w:rFonts w:hint="eastAsia" w:ascii="宋体" w:hAnsi="宋体"/>
          <w:color w:val="000000"/>
          <w:szCs w:val="21"/>
        </w:rPr>
        <w:t>樘样品分为检验样品和备用样品。检验样品用于按产品标准检验，备用样品用于异议处理时进行的复检。备用样品可封存于受检企业。</w:t>
      </w:r>
    </w:p>
    <w:p>
      <w:pPr>
        <w:spacing w:line="360" w:lineRule="auto"/>
        <w:rPr>
          <w:rFonts w:ascii="宋体"/>
          <w:color w:val="000000"/>
          <w:szCs w:val="21"/>
        </w:rPr>
      </w:pPr>
      <w:r>
        <w:rPr>
          <w:rFonts w:ascii="宋体" w:hAnsi="宋体"/>
          <w:color w:val="000000"/>
          <w:szCs w:val="21"/>
        </w:rPr>
        <w:t>6.5</w:t>
      </w:r>
      <w:r>
        <w:rPr>
          <w:rFonts w:hint="eastAsia" w:ascii="宋体" w:hAnsi="宋体"/>
          <w:color w:val="000000"/>
          <w:szCs w:val="21"/>
        </w:rPr>
        <w:t>样品处置</w:t>
      </w:r>
    </w:p>
    <w:p>
      <w:pPr>
        <w:widowControl/>
        <w:tabs>
          <w:tab w:val="left" w:pos="720"/>
        </w:tabs>
        <w:snapToGrid w:val="0"/>
        <w:spacing w:line="360" w:lineRule="auto"/>
        <w:ind w:firstLine="420" w:firstLineChars="200"/>
        <w:jc w:val="left"/>
        <w:rPr>
          <w:rFonts w:ascii="宋体"/>
          <w:color w:val="000000"/>
          <w:szCs w:val="21"/>
        </w:rPr>
      </w:pPr>
      <w:r>
        <w:rPr>
          <w:rFonts w:hint="eastAsia" w:ascii="宋体" w:hAnsi="宋体"/>
          <w:color w:val="000000"/>
          <w:szCs w:val="21"/>
        </w:rPr>
        <w:t>抽样人员对抽查的试样（含检验样、备用样）进行分别包装，包装应小心，为防拆封，可使用多张封条，样品表面均应覆保护材料密封包装。</w:t>
      </w:r>
    </w:p>
    <w:p>
      <w:pPr>
        <w:spacing w:line="360" w:lineRule="auto"/>
        <w:rPr>
          <w:rFonts w:ascii="宋体"/>
          <w:color w:val="000000"/>
          <w:szCs w:val="21"/>
        </w:rPr>
      </w:pPr>
      <w:r>
        <w:rPr>
          <w:rFonts w:ascii="宋体" w:hAnsi="宋体"/>
          <w:color w:val="000000"/>
          <w:szCs w:val="21"/>
        </w:rPr>
        <w:t>6.6</w:t>
      </w:r>
      <w:r>
        <w:rPr>
          <w:rFonts w:hint="eastAsia" w:ascii="宋体" w:hAnsi="宋体"/>
          <w:color w:val="000000"/>
          <w:szCs w:val="21"/>
        </w:rPr>
        <w:t>抽样单</w:t>
      </w:r>
    </w:p>
    <w:p>
      <w:pPr>
        <w:widowControl/>
        <w:tabs>
          <w:tab w:val="left" w:pos="720"/>
        </w:tabs>
        <w:snapToGrid w:val="0"/>
        <w:spacing w:line="360" w:lineRule="auto"/>
        <w:jc w:val="left"/>
        <w:rPr>
          <w:rFonts w:ascii="宋体"/>
          <w:color w:val="000000"/>
          <w:szCs w:val="21"/>
        </w:rPr>
      </w:pPr>
      <w:r>
        <w:rPr>
          <w:rFonts w:ascii="宋体" w:hAnsi="宋体"/>
          <w:color w:val="000000"/>
          <w:szCs w:val="21"/>
        </w:rPr>
        <w:t>6.6.1</w:t>
      </w:r>
      <w:r>
        <w:rPr>
          <w:rFonts w:hint="eastAsia" w:ascii="宋体" w:hAnsi="宋体"/>
          <w:color w:val="000000"/>
          <w:szCs w:val="21"/>
        </w:rPr>
        <w:t>抽样人员应按有关规定填写抽样单，并记录被抽查产品及企业相关信息。同时记录被抽查企业上一年度生产的被抽查防盗安全门产品的销售总额，以万元计；若企业上一年度未生产，则记录本年度实际销售额，并加以注明。</w:t>
      </w:r>
    </w:p>
    <w:p>
      <w:pPr>
        <w:widowControl/>
        <w:tabs>
          <w:tab w:val="left" w:pos="720"/>
        </w:tabs>
        <w:snapToGrid w:val="0"/>
        <w:spacing w:line="360" w:lineRule="auto"/>
        <w:jc w:val="left"/>
        <w:rPr>
          <w:rFonts w:ascii="宋体"/>
          <w:color w:val="000000"/>
          <w:szCs w:val="21"/>
        </w:rPr>
      </w:pPr>
      <w:r>
        <w:rPr>
          <w:rFonts w:ascii="宋体" w:hAnsi="宋体"/>
          <w:color w:val="000000"/>
          <w:szCs w:val="21"/>
        </w:rPr>
        <w:t>6.6.2</w:t>
      </w:r>
      <w:r>
        <w:rPr>
          <w:rFonts w:hint="eastAsia" w:ascii="宋体" w:hAnsi="宋体"/>
          <w:color w:val="000000"/>
          <w:szCs w:val="21"/>
        </w:rPr>
        <w:t>抽样单中要记录被抽查产品的规格、防盗等级、门框和门扇尺寸、所用钢板轧制类型（冷轧或热轧）等。</w:t>
      </w:r>
    </w:p>
    <w:p>
      <w:pPr>
        <w:spacing w:line="360" w:lineRule="auto"/>
        <w:rPr>
          <w:rFonts w:ascii="宋体"/>
          <w:color w:val="000000"/>
          <w:szCs w:val="21"/>
        </w:rPr>
      </w:pPr>
      <w:r>
        <w:rPr>
          <w:rFonts w:ascii="宋体" w:hAnsi="宋体"/>
          <w:color w:val="000000"/>
          <w:szCs w:val="21"/>
        </w:rPr>
        <w:t xml:space="preserve">6.7 </w:t>
      </w:r>
      <w:r>
        <w:rPr>
          <w:rFonts w:hint="eastAsia" w:ascii="宋体" w:hAnsi="宋体"/>
          <w:color w:val="000000"/>
          <w:szCs w:val="21"/>
        </w:rPr>
        <w:t>注意事项</w:t>
      </w:r>
    </w:p>
    <w:p>
      <w:pPr>
        <w:widowControl/>
        <w:tabs>
          <w:tab w:val="left" w:pos="720"/>
        </w:tabs>
        <w:snapToGrid w:val="0"/>
        <w:spacing w:line="360" w:lineRule="auto"/>
        <w:ind w:firstLine="420" w:firstLineChars="200"/>
        <w:jc w:val="left"/>
        <w:rPr>
          <w:rFonts w:ascii="宋体"/>
          <w:color w:val="000000"/>
          <w:szCs w:val="21"/>
        </w:rPr>
      </w:pPr>
      <w:r>
        <w:rPr>
          <w:rFonts w:hint="eastAsia" w:ascii="宋体" w:hAnsi="宋体"/>
          <w:color w:val="000000"/>
          <w:szCs w:val="21"/>
        </w:rPr>
        <w:t>当被检产品执行企业标准及产品明示质量要求时，受检单位必须提供有效的企业标准及产品明示质量要求，并加盖受检单位公章。</w:t>
      </w:r>
    </w:p>
    <w:p>
      <w:pPr>
        <w:pStyle w:val="2"/>
        <w:snapToGrid w:val="0"/>
        <w:spacing w:line="360" w:lineRule="auto"/>
        <w:rPr>
          <w:rFonts w:hAnsi="宋体"/>
          <w:b/>
          <w:color w:val="000000"/>
          <w:szCs w:val="21"/>
        </w:rPr>
      </w:pPr>
      <w:r>
        <w:rPr>
          <w:rFonts w:hAnsi="宋体"/>
          <w:b/>
          <w:color w:val="000000"/>
          <w:szCs w:val="21"/>
        </w:rPr>
        <w:t xml:space="preserve">6 </w:t>
      </w:r>
      <w:r>
        <w:rPr>
          <w:rFonts w:hint="eastAsia" w:hAnsi="宋体"/>
          <w:b/>
          <w:color w:val="000000"/>
          <w:szCs w:val="21"/>
        </w:rPr>
        <w:t>检验要求</w:t>
      </w:r>
    </w:p>
    <w:p>
      <w:pPr>
        <w:snapToGrid w:val="0"/>
        <w:spacing w:line="360" w:lineRule="auto"/>
        <w:rPr>
          <w:rFonts w:ascii="宋体"/>
          <w:color w:val="000000"/>
          <w:szCs w:val="21"/>
        </w:rPr>
      </w:pPr>
      <w:r>
        <w:rPr>
          <w:rFonts w:ascii="宋体" w:hAnsi="宋体"/>
          <w:color w:val="000000"/>
          <w:szCs w:val="21"/>
        </w:rPr>
        <w:t>6.1</w:t>
      </w:r>
      <w:r>
        <w:rPr>
          <w:rFonts w:hint="eastAsia" w:ascii="宋体" w:hAnsi="宋体"/>
          <w:color w:val="000000"/>
          <w:szCs w:val="21"/>
        </w:rPr>
        <w:t>检验项目及重要程度分类见表</w:t>
      </w:r>
      <w:r>
        <w:rPr>
          <w:rFonts w:ascii="宋体" w:hAnsi="宋体"/>
          <w:color w:val="000000"/>
          <w:szCs w:val="21"/>
        </w:rPr>
        <w:t>2</w:t>
      </w:r>
      <w:r>
        <w:rPr>
          <w:rFonts w:hint="eastAsia" w:ascii="宋体" w:hAnsi="宋体"/>
          <w:color w:val="000000"/>
          <w:szCs w:val="21"/>
        </w:rPr>
        <w:t>。</w:t>
      </w:r>
    </w:p>
    <w:p>
      <w:pPr>
        <w:snapToGrid w:val="0"/>
        <w:spacing w:line="360" w:lineRule="auto"/>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2    </w:t>
      </w:r>
      <w:r>
        <w:rPr>
          <w:rFonts w:hint="eastAsia" w:ascii="宋体" w:hAnsi="宋体"/>
          <w:color w:val="000000"/>
          <w:szCs w:val="21"/>
        </w:rPr>
        <w:t>检验项目及重要程度分类</w:t>
      </w:r>
    </w:p>
    <w:tbl>
      <w:tblPr>
        <w:tblStyle w:val="6"/>
        <w:tblW w:w="9027" w:type="dxa"/>
        <w:jc w:val="center"/>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701"/>
        <w:gridCol w:w="2126"/>
        <w:gridCol w:w="226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29" w:type="dxa"/>
            <w:vAlign w:val="center"/>
          </w:tcPr>
          <w:p>
            <w:pPr>
              <w:snapToGrid w:val="0"/>
              <w:jc w:val="center"/>
              <w:rPr>
                <w:rFonts w:ascii="宋体"/>
                <w:color w:val="000000"/>
                <w:szCs w:val="21"/>
              </w:rPr>
            </w:pPr>
            <w:r>
              <w:rPr>
                <w:rFonts w:hint="eastAsia" w:ascii="宋体" w:hAnsi="宋体"/>
                <w:color w:val="000000"/>
                <w:szCs w:val="21"/>
              </w:rPr>
              <w:t>序号</w:t>
            </w:r>
          </w:p>
        </w:tc>
        <w:tc>
          <w:tcPr>
            <w:tcW w:w="1701" w:type="dxa"/>
            <w:vAlign w:val="center"/>
          </w:tcPr>
          <w:p>
            <w:pPr>
              <w:snapToGrid w:val="0"/>
              <w:jc w:val="center"/>
              <w:rPr>
                <w:rFonts w:ascii="宋体"/>
                <w:color w:val="000000"/>
                <w:szCs w:val="21"/>
              </w:rPr>
            </w:pPr>
            <w:r>
              <w:rPr>
                <w:rFonts w:hint="eastAsia" w:ascii="宋体" w:hAnsi="宋体"/>
                <w:color w:val="000000"/>
                <w:szCs w:val="21"/>
              </w:rPr>
              <w:t>检验项目</w:t>
            </w:r>
          </w:p>
        </w:tc>
        <w:tc>
          <w:tcPr>
            <w:tcW w:w="2126" w:type="dxa"/>
            <w:vAlign w:val="center"/>
          </w:tcPr>
          <w:p>
            <w:pPr>
              <w:snapToGrid w:val="0"/>
              <w:jc w:val="center"/>
              <w:rPr>
                <w:rFonts w:ascii="宋体"/>
                <w:color w:val="000000"/>
                <w:szCs w:val="21"/>
              </w:rPr>
            </w:pPr>
            <w:r>
              <w:rPr>
                <w:rFonts w:hint="eastAsia" w:ascii="宋体" w:hAnsi="宋体"/>
                <w:color w:val="000000"/>
                <w:szCs w:val="21"/>
              </w:rPr>
              <w:t>依据标准及条款</w:t>
            </w:r>
          </w:p>
        </w:tc>
        <w:tc>
          <w:tcPr>
            <w:tcW w:w="2268" w:type="dxa"/>
            <w:vAlign w:val="center"/>
          </w:tcPr>
          <w:p>
            <w:pPr>
              <w:snapToGrid w:val="0"/>
              <w:jc w:val="center"/>
              <w:rPr>
                <w:rFonts w:ascii="宋体"/>
                <w:color w:val="000000"/>
                <w:szCs w:val="21"/>
              </w:rPr>
            </w:pPr>
            <w:r>
              <w:rPr>
                <w:rFonts w:hint="eastAsia" w:ascii="宋体" w:hAnsi="宋体"/>
                <w:color w:val="000000"/>
                <w:szCs w:val="21"/>
              </w:rPr>
              <w:t>检验方法及条款</w:t>
            </w:r>
          </w:p>
        </w:tc>
        <w:tc>
          <w:tcPr>
            <w:tcW w:w="1134" w:type="dxa"/>
            <w:vAlign w:val="center"/>
          </w:tcPr>
          <w:p>
            <w:pPr>
              <w:snapToGrid w:val="0"/>
              <w:jc w:val="center"/>
              <w:rPr>
                <w:rFonts w:ascii="宋体"/>
                <w:color w:val="000000"/>
                <w:szCs w:val="21"/>
              </w:rPr>
            </w:pPr>
            <w:r>
              <w:rPr>
                <w:rFonts w:hint="eastAsia" w:ascii="宋体" w:hAnsi="宋体"/>
                <w:color w:val="000000"/>
                <w:szCs w:val="21"/>
              </w:rPr>
              <w:t>重要程度分类</w:t>
            </w:r>
          </w:p>
        </w:tc>
        <w:tc>
          <w:tcPr>
            <w:tcW w:w="969" w:type="dxa"/>
            <w:vAlign w:val="center"/>
          </w:tcPr>
          <w:p>
            <w:pPr>
              <w:snapToGrid w:val="0"/>
              <w:jc w:val="center"/>
              <w:rPr>
                <w:rFonts w:asci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hAnsi="宋体"/>
                <w:color w:val="000000"/>
                <w:szCs w:val="21"/>
              </w:rPr>
            </w:pPr>
            <w:r>
              <w:rPr>
                <w:rFonts w:ascii="宋体" w:hAnsi="宋体"/>
                <w:color w:val="000000"/>
                <w:szCs w:val="21"/>
              </w:rPr>
              <w:t>1</w:t>
            </w:r>
          </w:p>
        </w:tc>
        <w:tc>
          <w:tcPr>
            <w:tcW w:w="1701" w:type="dxa"/>
            <w:vAlign w:val="center"/>
          </w:tcPr>
          <w:p>
            <w:pPr>
              <w:snapToGrid w:val="0"/>
              <w:jc w:val="center"/>
              <w:rPr>
                <w:rFonts w:ascii="宋体"/>
                <w:color w:val="000000"/>
                <w:szCs w:val="21"/>
              </w:rPr>
            </w:pPr>
            <w:r>
              <w:rPr>
                <w:rFonts w:hint="eastAsia" w:ascii="宋体" w:hAnsi="宋体"/>
                <w:color w:val="000000"/>
                <w:szCs w:val="21"/>
              </w:rPr>
              <w:t>外观</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5.2</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6.3</w:t>
            </w:r>
          </w:p>
        </w:tc>
        <w:tc>
          <w:tcPr>
            <w:tcW w:w="1134" w:type="dxa"/>
            <w:vAlign w:val="center"/>
          </w:tcPr>
          <w:p>
            <w:pPr>
              <w:snapToGrid w:val="0"/>
              <w:jc w:val="center"/>
              <w:rPr>
                <w:rFonts w:ascii="宋体" w:hAnsi="宋体"/>
                <w:color w:val="000000"/>
                <w:szCs w:val="21"/>
              </w:rPr>
            </w:pPr>
            <w:r>
              <w:rPr>
                <w:rFonts w:ascii="宋体" w:hAnsi="宋体"/>
                <w:color w:val="000000"/>
                <w:szCs w:val="21"/>
              </w:rPr>
              <w:t>B</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hAnsi="宋体"/>
                <w:color w:val="000000"/>
                <w:szCs w:val="21"/>
              </w:rPr>
            </w:pPr>
            <w:r>
              <w:rPr>
                <w:rFonts w:ascii="宋体" w:hAnsi="宋体"/>
                <w:color w:val="000000"/>
                <w:szCs w:val="21"/>
              </w:rPr>
              <w:t>2</w:t>
            </w:r>
          </w:p>
        </w:tc>
        <w:tc>
          <w:tcPr>
            <w:tcW w:w="1701" w:type="dxa"/>
            <w:vAlign w:val="center"/>
          </w:tcPr>
          <w:p>
            <w:pPr>
              <w:snapToGrid w:val="0"/>
              <w:jc w:val="center"/>
              <w:rPr>
                <w:rFonts w:ascii="宋体"/>
                <w:color w:val="000000"/>
                <w:szCs w:val="21"/>
              </w:rPr>
            </w:pPr>
            <w:r>
              <w:rPr>
                <w:rFonts w:hint="eastAsia" w:ascii="宋体" w:hAnsi="宋体"/>
                <w:color w:val="000000"/>
                <w:szCs w:val="21"/>
              </w:rPr>
              <w:t>钢板板材厚度</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5.4.2</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6.5.2</w:t>
            </w:r>
          </w:p>
        </w:tc>
        <w:tc>
          <w:tcPr>
            <w:tcW w:w="1134" w:type="dxa"/>
            <w:vAlign w:val="center"/>
          </w:tcPr>
          <w:p>
            <w:pPr>
              <w:snapToGrid w:val="0"/>
              <w:jc w:val="center"/>
              <w:rPr>
                <w:rFonts w:ascii="宋体" w:hAnsi="宋体"/>
                <w:color w:val="000000"/>
                <w:szCs w:val="21"/>
              </w:rPr>
            </w:pPr>
            <w:r>
              <w:rPr>
                <w:rFonts w:ascii="宋体" w:hAnsi="宋体"/>
                <w:color w:val="000000"/>
                <w:szCs w:val="21"/>
              </w:rPr>
              <w:t>B</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hAnsi="宋体"/>
                <w:color w:val="000000"/>
                <w:szCs w:val="21"/>
              </w:rPr>
            </w:pPr>
            <w:r>
              <w:rPr>
                <w:rFonts w:ascii="宋体" w:hAnsi="宋体"/>
                <w:color w:val="000000"/>
                <w:szCs w:val="21"/>
              </w:rPr>
              <w:t>3</w:t>
            </w:r>
          </w:p>
        </w:tc>
        <w:tc>
          <w:tcPr>
            <w:tcW w:w="1701" w:type="dxa"/>
            <w:vAlign w:val="center"/>
          </w:tcPr>
          <w:p>
            <w:pPr>
              <w:snapToGrid w:val="0"/>
              <w:jc w:val="center"/>
              <w:rPr>
                <w:rFonts w:ascii="宋体"/>
                <w:color w:val="000000"/>
                <w:szCs w:val="21"/>
              </w:rPr>
            </w:pPr>
            <w:r>
              <w:rPr>
                <w:rFonts w:hint="eastAsia" w:ascii="宋体" w:hAnsi="宋体"/>
                <w:color w:val="000000"/>
                <w:szCs w:val="21"/>
              </w:rPr>
              <w:t>尺寸与配合间隙</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5.5</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6.6</w:t>
            </w:r>
          </w:p>
        </w:tc>
        <w:tc>
          <w:tcPr>
            <w:tcW w:w="1134" w:type="dxa"/>
            <w:vAlign w:val="center"/>
          </w:tcPr>
          <w:p>
            <w:pPr>
              <w:snapToGrid w:val="0"/>
              <w:jc w:val="center"/>
              <w:rPr>
                <w:rFonts w:ascii="宋体" w:hAnsi="宋体"/>
                <w:color w:val="000000"/>
                <w:szCs w:val="21"/>
              </w:rPr>
            </w:pPr>
            <w:r>
              <w:rPr>
                <w:rFonts w:ascii="宋体" w:hAnsi="宋体"/>
                <w:color w:val="000000"/>
                <w:szCs w:val="21"/>
              </w:rPr>
              <w:t>B</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hAnsi="宋体"/>
                <w:color w:val="000000"/>
                <w:szCs w:val="21"/>
              </w:rPr>
            </w:pPr>
            <w:r>
              <w:rPr>
                <w:rFonts w:ascii="宋体" w:hAnsi="宋体"/>
                <w:color w:val="000000"/>
                <w:szCs w:val="21"/>
              </w:rPr>
              <w:t>4</w:t>
            </w:r>
          </w:p>
        </w:tc>
        <w:tc>
          <w:tcPr>
            <w:tcW w:w="1701" w:type="dxa"/>
            <w:vAlign w:val="center"/>
          </w:tcPr>
          <w:p>
            <w:pPr>
              <w:snapToGrid w:val="0"/>
              <w:jc w:val="center"/>
              <w:rPr>
                <w:rFonts w:ascii="宋体"/>
                <w:color w:val="000000"/>
                <w:szCs w:val="21"/>
              </w:rPr>
            </w:pPr>
            <w:r>
              <w:rPr>
                <w:rFonts w:hint="eastAsia" w:ascii="宋体" w:hAnsi="宋体"/>
                <w:color w:val="000000"/>
                <w:szCs w:val="21"/>
              </w:rPr>
              <w:t>防破坏性能</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5.6.2</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6.7.2</w:t>
            </w:r>
          </w:p>
        </w:tc>
        <w:tc>
          <w:tcPr>
            <w:tcW w:w="1134" w:type="dxa"/>
            <w:vAlign w:val="center"/>
          </w:tcPr>
          <w:p>
            <w:pPr>
              <w:snapToGrid w:val="0"/>
              <w:jc w:val="center"/>
              <w:rPr>
                <w:rFonts w:ascii="宋体" w:hAnsi="宋体"/>
                <w:color w:val="000000"/>
                <w:szCs w:val="21"/>
              </w:rPr>
            </w:pPr>
            <w:r>
              <w:rPr>
                <w:rFonts w:ascii="宋体" w:hAnsi="宋体"/>
                <w:color w:val="000000"/>
                <w:szCs w:val="21"/>
              </w:rPr>
              <w:t>A</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5</w:t>
            </w:r>
          </w:p>
        </w:tc>
        <w:tc>
          <w:tcPr>
            <w:tcW w:w="1701" w:type="dxa"/>
            <w:vAlign w:val="center"/>
          </w:tcPr>
          <w:p>
            <w:pPr>
              <w:snapToGrid w:val="0"/>
              <w:jc w:val="center"/>
              <w:rPr>
                <w:rFonts w:ascii="宋体"/>
                <w:color w:val="000000"/>
                <w:szCs w:val="21"/>
              </w:rPr>
            </w:pPr>
            <w:r>
              <w:rPr>
                <w:rFonts w:hint="eastAsia" w:ascii="宋体" w:hAnsi="宋体"/>
                <w:color w:val="000000"/>
                <w:szCs w:val="21"/>
              </w:rPr>
              <w:t>防闯入性能</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5.6.3</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6.7.3</w:t>
            </w:r>
          </w:p>
        </w:tc>
        <w:tc>
          <w:tcPr>
            <w:tcW w:w="1134" w:type="dxa"/>
            <w:vAlign w:val="center"/>
          </w:tcPr>
          <w:p>
            <w:pPr>
              <w:snapToGrid w:val="0"/>
              <w:jc w:val="center"/>
              <w:rPr>
                <w:rFonts w:ascii="宋体" w:hAnsi="宋体"/>
                <w:color w:val="000000"/>
                <w:szCs w:val="21"/>
              </w:rPr>
            </w:pPr>
            <w:r>
              <w:rPr>
                <w:rFonts w:ascii="宋体" w:hAnsi="宋体"/>
                <w:color w:val="000000"/>
                <w:szCs w:val="21"/>
              </w:rPr>
              <w:t>A</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6</w:t>
            </w:r>
          </w:p>
        </w:tc>
        <w:tc>
          <w:tcPr>
            <w:tcW w:w="1701" w:type="dxa"/>
            <w:vAlign w:val="center"/>
          </w:tcPr>
          <w:p>
            <w:pPr>
              <w:snapToGrid w:val="0"/>
              <w:jc w:val="center"/>
              <w:rPr>
                <w:rFonts w:ascii="宋体"/>
                <w:color w:val="000000"/>
                <w:szCs w:val="21"/>
              </w:rPr>
            </w:pPr>
            <w:r>
              <w:rPr>
                <w:rFonts w:hint="eastAsia" w:ascii="宋体" w:hAnsi="宋体"/>
                <w:color w:val="000000"/>
                <w:szCs w:val="21"/>
              </w:rPr>
              <w:t>软冲击性能</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5.6.4</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6.7.4</w:t>
            </w:r>
          </w:p>
        </w:tc>
        <w:tc>
          <w:tcPr>
            <w:tcW w:w="1134" w:type="dxa"/>
            <w:vAlign w:val="center"/>
          </w:tcPr>
          <w:p>
            <w:pPr>
              <w:snapToGrid w:val="0"/>
              <w:jc w:val="center"/>
              <w:rPr>
                <w:rFonts w:ascii="宋体" w:hAnsi="宋体"/>
                <w:color w:val="000000"/>
                <w:szCs w:val="21"/>
              </w:rPr>
            </w:pPr>
            <w:r>
              <w:rPr>
                <w:rFonts w:ascii="宋体" w:hAnsi="宋体"/>
                <w:color w:val="000000"/>
                <w:szCs w:val="21"/>
              </w:rPr>
              <w:t>A</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7</w:t>
            </w:r>
          </w:p>
        </w:tc>
        <w:tc>
          <w:tcPr>
            <w:tcW w:w="1701" w:type="dxa"/>
            <w:vAlign w:val="center"/>
          </w:tcPr>
          <w:p>
            <w:pPr>
              <w:snapToGrid w:val="0"/>
              <w:jc w:val="center"/>
              <w:rPr>
                <w:rFonts w:ascii="宋体"/>
                <w:color w:val="000000"/>
                <w:szCs w:val="21"/>
              </w:rPr>
            </w:pPr>
            <w:r>
              <w:rPr>
                <w:rFonts w:hint="eastAsia" w:ascii="宋体" w:hAnsi="宋体"/>
                <w:color w:val="000000"/>
                <w:szCs w:val="21"/>
              </w:rPr>
              <w:t>悬端吊重性能</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5.7</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6.8</w:t>
            </w:r>
          </w:p>
        </w:tc>
        <w:tc>
          <w:tcPr>
            <w:tcW w:w="1134" w:type="dxa"/>
            <w:vAlign w:val="center"/>
          </w:tcPr>
          <w:p>
            <w:pPr>
              <w:snapToGrid w:val="0"/>
              <w:jc w:val="center"/>
              <w:rPr>
                <w:rFonts w:ascii="宋体" w:hAnsi="宋体"/>
                <w:color w:val="000000"/>
                <w:szCs w:val="21"/>
              </w:rPr>
            </w:pPr>
            <w:r>
              <w:rPr>
                <w:rFonts w:ascii="宋体" w:hAnsi="宋体"/>
                <w:color w:val="000000"/>
                <w:szCs w:val="21"/>
              </w:rPr>
              <w:t>B</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8</w:t>
            </w:r>
          </w:p>
        </w:tc>
        <w:tc>
          <w:tcPr>
            <w:tcW w:w="1701" w:type="dxa"/>
            <w:vAlign w:val="center"/>
          </w:tcPr>
          <w:p>
            <w:pPr>
              <w:snapToGrid w:val="0"/>
              <w:jc w:val="center"/>
              <w:rPr>
                <w:rFonts w:ascii="宋体"/>
                <w:color w:val="000000"/>
                <w:szCs w:val="21"/>
              </w:rPr>
            </w:pPr>
            <w:r>
              <w:rPr>
                <w:rFonts w:hint="eastAsia" w:ascii="宋体" w:hAnsi="宋体"/>
                <w:color w:val="000000"/>
                <w:szCs w:val="21"/>
              </w:rPr>
              <w:t>电器安全要求</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5.7</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6.12</w:t>
            </w:r>
          </w:p>
        </w:tc>
        <w:tc>
          <w:tcPr>
            <w:tcW w:w="1134" w:type="dxa"/>
            <w:vAlign w:val="center"/>
          </w:tcPr>
          <w:p>
            <w:pPr>
              <w:snapToGrid w:val="0"/>
              <w:jc w:val="center"/>
              <w:rPr>
                <w:rFonts w:ascii="宋体" w:hAnsi="宋体"/>
                <w:color w:val="000000"/>
                <w:szCs w:val="21"/>
              </w:rPr>
            </w:pPr>
            <w:r>
              <w:rPr>
                <w:rFonts w:ascii="宋体" w:hAnsi="宋体"/>
                <w:color w:val="000000"/>
                <w:szCs w:val="21"/>
              </w:rPr>
              <w:t>A</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9</w:t>
            </w:r>
          </w:p>
        </w:tc>
        <w:tc>
          <w:tcPr>
            <w:tcW w:w="1701" w:type="dxa"/>
            <w:vAlign w:val="center"/>
          </w:tcPr>
          <w:p>
            <w:pPr>
              <w:snapToGrid w:val="0"/>
              <w:jc w:val="center"/>
              <w:rPr>
                <w:rFonts w:ascii="宋体"/>
                <w:color w:val="000000"/>
                <w:szCs w:val="21"/>
              </w:rPr>
            </w:pPr>
            <w:r>
              <w:rPr>
                <w:rFonts w:hint="eastAsia" w:ascii="宋体" w:hAnsi="宋体"/>
                <w:color w:val="000000"/>
                <w:szCs w:val="21"/>
              </w:rPr>
              <w:t>永久性标志</w:t>
            </w:r>
          </w:p>
        </w:tc>
        <w:tc>
          <w:tcPr>
            <w:tcW w:w="2126" w:type="dxa"/>
            <w:vAlign w:val="center"/>
          </w:tcPr>
          <w:p>
            <w:pPr>
              <w:snapToGrid w:val="0"/>
              <w:ind w:right="-107" w:rightChars="-51"/>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5.3.a)</w:t>
            </w:r>
          </w:p>
        </w:tc>
        <w:tc>
          <w:tcPr>
            <w:tcW w:w="2268" w:type="dxa"/>
            <w:vAlign w:val="center"/>
          </w:tcPr>
          <w:p>
            <w:pPr>
              <w:snapToGrid w:val="0"/>
              <w:ind w:right="-107" w:rightChars="-51"/>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6.4</w:t>
            </w:r>
          </w:p>
        </w:tc>
        <w:tc>
          <w:tcPr>
            <w:tcW w:w="1134" w:type="dxa"/>
            <w:vAlign w:val="center"/>
          </w:tcPr>
          <w:p>
            <w:pPr>
              <w:jc w:val="center"/>
              <w:rPr>
                <w:rFonts w:ascii="宋体" w:hAnsi="宋体"/>
                <w:color w:val="000000"/>
                <w:szCs w:val="21"/>
              </w:rPr>
            </w:pPr>
            <w:r>
              <w:rPr>
                <w:rFonts w:ascii="宋体" w:hAnsi="宋体"/>
                <w:color w:val="000000"/>
                <w:szCs w:val="21"/>
              </w:rPr>
              <w:t>B</w:t>
            </w:r>
          </w:p>
        </w:tc>
        <w:tc>
          <w:tcPr>
            <w:tcW w:w="96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10</w:t>
            </w:r>
          </w:p>
        </w:tc>
        <w:tc>
          <w:tcPr>
            <w:tcW w:w="1701" w:type="dxa"/>
            <w:vAlign w:val="center"/>
          </w:tcPr>
          <w:p>
            <w:pPr>
              <w:snapToGrid w:val="0"/>
              <w:jc w:val="center"/>
              <w:rPr>
                <w:rFonts w:ascii="宋体"/>
                <w:color w:val="000000"/>
                <w:szCs w:val="21"/>
              </w:rPr>
            </w:pPr>
            <w:r>
              <w:rPr>
                <w:rFonts w:hint="eastAsia" w:ascii="宋体" w:hAnsi="宋体"/>
                <w:color w:val="000000"/>
                <w:szCs w:val="21"/>
              </w:rPr>
              <w:t>铰链转动性能</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w:t>
            </w:r>
            <w:r>
              <w:rPr>
                <w:rFonts w:hint="eastAsia" w:ascii="宋体" w:hAnsi="宋体"/>
                <w:color w:val="000000"/>
                <w:szCs w:val="21"/>
              </w:rPr>
              <w:t>　</w:t>
            </w:r>
            <w:r>
              <w:rPr>
                <w:rFonts w:ascii="宋体" w:hAnsi="宋体"/>
                <w:color w:val="000000"/>
                <w:szCs w:val="21"/>
              </w:rPr>
              <w:t>5.9</w:t>
            </w:r>
          </w:p>
        </w:tc>
        <w:tc>
          <w:tcPr>
            <w:tcW w:w="2268" w:type="dxa"/>
            <w:vAlign w:val="center"/>
          </w:tcPr>
          <w:p>
            <w:pPr>
              <w:snapToGrid w:val="0"/>
              <w:jc w:val="left"/>
              <w:rPr>
                <w:rFonts w:ascii="宋体" w:hAnsi="宋体"/>
                <w:szCs w:val="21"/>
              </w:rPr>
            </w:pPr>
            <w:r>
              <w:rPr>
                <w:rFonts w:ascii="宋体" w:hAnsi="宋体"/>
                <w:szCs w:val="21"/>
              </w:rPr>
              <w:t>GB 17565-2007</w:t>
            </w:r>
            <w:r>
              <w:rPr>
                <w:rFonts w:hint="eastAsia" w:ascii="宋体" w:hAnsi="宋体"/>
                <w:szCs w:val="21"/>
              </w:rPr>
              <w:t>　</w:t>
            </w:r>
            <w:r>
              <w:rPr>
                <w:rFonts w:ascii="宋体" w:hAnsi="宋体"/>
                <w:szCs w:val="21"/>
              </w:rPr>
              <w:t>6.10</w:t>
            </w:r>
          </w:p>
        </w:tc>
        <w:tc>
          <w:tcPr>
            <w:tcW w:w="1134" w:type="dxa"/>
            <w:vAlign w:val="center"/>
          </w:tcPr>
          <w:p>
            <w:pPr>
              <w:jc w:val="center"/>
              <w:rPr>
                <w:rFonts w:ascii="宋体" w:hAnsi="宋体"/>
                <w:color w:val="000000"/>
                <w:szCs w:val="21"/>
              </w:rPr>
            </w:pPr>
            <w:r>
              <w:rPr>
                <w:rFonts w:ascii="宋体" w:hAnsi="宋体"/>
                <w:color w:val="000000"/>
                <w:szCs w:val="21"/>
              </w:rPr>
              <w:t>B</w:t>
            </w:r>
          </w:p>
        </w:tc>
        <w:tc>
          <w:tcPr>
            <w:tcW w:w="96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11</w:t>
            </w:r>
          </w:p>
        </w:tc>
        <w:tc>
          <w:tcPr>
            <w:tcW w:w="1701" w:type="dxa"/>
            <w:vAlign w:val="center"/>
          </w:tcPr>
          <w:p>
            <w:pPr>
              <w:snapToGrid w:val="0"/>
              <w:jc w:val="center"/>
              <w:rPr>
                <w:rFonts w:ascii="宋体"/>
                <w:color w:val="000000"/>
                <w:szCs w:val="21"/>
              </w:rPr>
            </w:pPr>
            <w:r>
              <w:rPr>
                <w:rFonts w:hint="eastAsia" w:ascii="宋体" w:hAnsi="宋体"/>
                <w:color w:val="000000"/>
                <w:szCs w:val="21"/>
              </w:rPr>
              <w:t>锁具一般要求</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  5.10.4</w:t>
            </w:r>
            <w:r>
              <w:rPr>
                <w:rFonts w:hint="eastAsia" w:ascii="宋体" w:hAnsi="宋体"/>
                <w:color w:val="000000"/>
                <w:szCs w:val="21"/>
              </w:rPr>
              <w:t>、</w:t>
            </w:r>
            <w:r>
              <w:rPr>
                <w:rFonts w:ascii="宋体" w:hAnsi="宋体"/>
                <w:color w:val="000000"/>
                <w:szCs w:val="21"/>
              </w:rPr>
              <w:t>5.10.5</w:t>
            </w:r>
          </w:p>
        </w:tc>
        <w:tc>
          <w:tcPr>
            <w:tcW w:w="2268" w:type="dxa"/>
            <w:vAlign w:val="center"/>
          </w:tcPr>
          <w:p>
            <w:pPr>
              <w:snapToGrid w:val="0"/>
              <w:jc w:val="left"/>
              <w:rPr>
                <w:rFonts w:ascii="宋体" w:hAnsi="宋体"/>
                <w:szCs w:val="21"/>
              </w:rPr>
            </w:pPr>
            <w:r>
              <w:rPr>
                <w:rFonts w:ascii="宋体" w:hAnsi="宋体"/>
                <w:szCs w:val="21"/>
              </w:rPr>
              <w:t>GB 17565-2007  5.10.4</w:t>
            </w:r>
            <w:r>
              <w:rPr>
                <w:rFonts w:hint="eastAsia" w:ascii="宋体" w:hAnsi="宋体"/>
                <w:szCs w:val="21"/>
              </w:rPr>
              <w:t>、</w:t>
            </w:r>
            <w:r>
              <w:rPr>
                <w:rFonts w:ascii="宋体" w:hAnsi="宋体"/>
                <w:szCs w:val="21"/>
              </w:rPr>
              <w:t>5.10.5</w:t>
            </w:r>
          </w:p>
        </w:tc>
        <w:tc>
          <w:tcPr>
            <w:tcW w:w="1134" w:type="dxa"/>
            <w:vAlign w:val="center"/>
          </w:tcPr>
          <w:p>
            <w:pPr>
              <w:jc w:val="center"/>
              <w:rPr>
                <w:rFonts w:ascii="宋体" w:hAnsi="宋体"/>
                <w:color w:val="000000"/>
                <w:szCs w:val="21"/>
              </w:rPr>
            </w:pPr>
            <w:r>
              <w:rPr>
                <w:rFonts w:ascii="宋体" w:hAnsi="宋体"/>
                <w:color w:val="000000"/>
                <w:szCs w:val="21"/>
              </w:rPr>
              <w:t>B</w:t>
            </w:r>
          </w:p>
        </w:tc>
        <w:tc>
          <w:tcPr>
            <w:tcW w:w="96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9" w:type="dxa"/>
            <w:vAlign w:val="center"/>
          </w:tcPr>
          <w:p>
            <w:pPr>
              <w:snapToGrid w:val="0"/>
              <w:jc w:val="center"/>
              <w:rPr>
                <w:rFonts w:ascii="宋体"/>
                <w:color w:val="000000"/>
                <w:szCs w:val="21"/>
              </w:rPr>
            </w:pPr>
            <w:r>
              <w:rPr>
                <w:rFonts w:ascii="宋体" w:hAnsi="宋体"/>
                <w:color w:val="000000"/>
                <w:szCs w:val="21"/>
              </w:rPr>
              <w:t>12</w:t>
            </w:r>
          </w:p>
        </w:tc>
        <w:tc>
          <w:tcPr>
            <w:tcW w:w="1701" w:type="dxa"/>
            <w:vAlign w:val="center"/>
          </w:tcPr>
          <w:p>
            <w:pPr>
              <w:snapToGrid w:val="0"/>
              <w:jc w:val="center"/>
              <w:rPr>
                <w:rFonts w:ascii="宋体"/>
                <w:color w:val="000000"/>
                <w:szCs w:val="21"/>
              </w:rPr>
            </w:pPr>
            <w:r>
              <w:rPr>
                <w:rFonts w:hint="eastAsia" w:ascii="宋体" w:hAnsi="宋体"/>
                <w:color w:val="000000"/>
                <w:szCs w:val="21"/>
              </w:rPr>
              <w:t>锁具防盗要求</w:t>
            </w:r>
          </w:p>
        </w:tc>
        <w:tc>
          <w:tcPr>
            <w:tcW w:w="2126" w:type="dxa"/>
            <w:vAlign w:val="center"/>
          </w:tcPr>
          <w:p>
            <w:pPr>
              <w:snapToGrid w:val="0"/>
              <w:jc w:val="left"/>
              <w:rPr>
                <w:rFonts w:ascii="宋体" w:hAnsi="宋体"/>
                <w:color w:val="000000"/>
                <w:szCs w:val="21"/>
              </w:rPr>
            </w:pPr>
            <w:r>
              <w:rPr>
                <w:rFonts w:ascii="宋体" w:hAnsi="宋体"/>
                <w:color w:val="000000"/>
                <w:szCs w:val="21"/>
              </w:rPr>
              <w:t>GB 17565-2007  5.10.1</w:t>
            </w:r>
          </w:p>
        </w:tc>
        <w:tc>
          <w:tcPr>
            <w:tcW w:w="2268" w:type="dxa"/>
            <w:vAlign w:val="center"/>
          </w:tcPr>
          <w:p>
            <w:pPr>
              <w:snapToGrid w:val="0"/>
              <w:jc w:val="left"/>
              <w:rPr>
                <w:rFonts w:ascii="宋体" w:hAnsi="宋体"/>
                <w:szCs w:val="21"/>
              </w:rPr>
            </w:pPr>
            <w:r>
              <w:rPr>
                <w:rFonts w:ascii="宋体" w:hAnsi="宋体"/>
                <w:szCs w:val="21"/>
              </w:rPr>
              <w:t>GB 17565-2007  5.10.1</w:t>
            </w:r>
          </w:p>
        </w:tc>
        <w:tc>
          <w:tcPr>
            <w:tcW w:w="1134" w:type="dxa"/>
            <w:vAlign w:val="center"/>
          </w:tcPr>
          <w:p>
            <w:pPr>
              <w:snapToGrid w:val="0"/>
              <w:jc w:val="center"/>
              <w:rPr>
                <w:rFonts w:ascii="宋体" w:hAnsi="宋体"/>
                <w:color w:val="000000"/>
                <w:szCs w:val="21"/>
              </w:rPr>
            </w:pPr>
            <w:r>
              <w:rPr>
                <w:rFonts w:ascii="宋体" w:hAnsi="宋体"/>
                <w:color w:val="000000"/>
                <w:szCs w:val="21"/>
              </w:rPr>
              <w:t>A</w:t>
            </w:r>
          </w:p>
        </w:tc>
        <w:tc>
          <w:tcPr>
            <w:tcW w:w="96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27" w:type="dxa"/>
            <w:gridSpan w:val="6"/>
            <w:vAlign w:val="center"/>
          </w:tcPr>
          <w:p>
            <w:pPr>
              <w:snapToGrid w:val="0"/>
              <w:rPr>
                <w:rFonts w:ascii="宋体"/>
                <w:szCs w:val="21"/>
              </w:rPr>
            </w:pPr>
            <w:r>
              <w:rPr>
                <w:rFonts w:ascii="宋体" w:hAnsi="宋体"/>
                <w:szCs w:val="21"/>
              </w:rPr>
              <w:t xml:space="preserve">A </w:t>
            </w:r>
            <w:r>
              <w:rPr>
                <w:rFonts w:hint="eastAsia" w:ascii="宋体" w:hAnsi="宋体"/>
                <w:szCs w:val="21"/>
              </w:rPr>
              <w:t>极重要质量项目</w:t>
            </w:r>
          </w:p>
          <w:p>
            <w:pPr>
              <w:snapToGrid w:val="0"/>
              <w:jc w:val="left"/>
              <w:rPr>
                <w:rFonts w:ascii="宋体"/>
                <w:color w:val="000000"/>
                <w:szCs w:val="21"/>
              </w:rPr>
            </w:pPr>
            <w:r>
              <w:rPr>
                <w:rFonts w:ascii="宋体" w:hAnsi="宋体"/>
                <w:szCs w:val="21"/>
              </w:rPr>
              <w:t xml:space="preserve">B </w:t>
            </w:r>
            <w:r>
              <w:rPr>
                <w:rFonts w:hint="eastAsia" w:ascii="宋体" w:hAnsi="宋体"/>
                <w:szCs w:val="21"/>
              </w:rPr>
              <w:t>重要质量项目</w:t>
            </w:r>
          </w:p>
        </w:tc>
      </w:tr>
    </w:tbl>
    <w:p>
      <w:pPr>
        <w:rPr>
          <w:rFonts w:ascii="宋体"/>
          <w:color w:val="000000"/>
          <w:sz w:val="18"/>
          <w:szCs w:val="18"/>
        </w:rPr>
      </w:pPr>
      <w:r>
        <w:rPr>
          <w:rFonts w:hint="eastAsia" w:ascii="宋体" w:hAnsi="宋体"/>
          <w:color w:val="000000"/>
          <w:sz w:val="18"/>
          <w:szCs w:val="18"/>
        </w:rPr>
        <w:t>注：①极重要质量项目是指直接涉及人体健康、使用安全的指标；重要质量项目是指产品涉及环保、能效、关键性能或特征值的指标。</w:t>
      </w:r>
    </w:p>
    <w:p>
      <w:pPr>
        <w:rPr>
          <w:rFonts w:ascii="宋体"/>
          <w:color w:val="000000"/>
          <w:sz w:val="18"/>
          <w:szCs w:val="18"/>
        </w:rPr>
      </w:pPr>
      <w:r>
        <w:rPr>
          <w:rFonts w:hint="eastAsia" w:ascii="宋体" w:hAnsi="宋体"/>
          <w:color w:val="000000"/>
          <w:sz w:val="18"/>
          <w:szCs w:val="18"/>
        </w:rPr>
        <w:t>②上表所列检验项目是有关法律法规、标准等规定的，重点涉及健康、安全、节能、环保以及消费者、有关组织反映有质量问题的重要项目。</w:t>
      </w:r>
    </w:p>
    <w:p>
      <w:pPr>
        <w:spacing w:line="360" w:lineRule="auto"/>
        <w:rPr>
          <w:rFonts w:ascii="宋体"/>
          <w:color w:val="000000"/>
          <w:szCs w:val="21"/>
        </w:rPr>
      </w:pPr>
      <w:r>
        <w:rPr>
          <w:rFonts w:ascii="宋体" w:hAnsi="宋体"/>
          <w:color w:val="000000"/>
          <w:szCs w:val="21"/>
        </w:rPr>
        <w:t xml:space="preserve">7.2 </w:t>
      </w:r>
      <w:r>
        <w:rPr>
          <w:rFonts w:hint="eastAsia" w:ascii="宋体" w:hAnsi="宋体"/>
          <w:color w:val="000000"/>
          <w:szCs w:val="21"/>
        </w:rPr>
        <w:t>检验应注意的问题</w:t>
      </w:r>
    </w:p>
    <w:p>
      <w:pPr>
        <w:spacing w:line="360" w:lineRule="auto"/>
        <w:rPr>
          <w:rFonts w:ascii="宋体"/>
          <w:color w:val="000000"/>
          <w:szCs w:val="21"/>
        </w:rPr>
      </w:pPr>
      <w:r>
        <w:rPr>
          <w:rFonts w:ascii="宋体" w:hAnsi="宋体"/>
          <w:color w:val="000000"/>
          <w:szCs w:val="21"/>
        </w:rPr>
        <w:t>7.2.1</w:t>
      </w:r>
      <w:r>
        <w:rPr>
          <w:rFonts w:hint="eastAsia" w:ascii="宋体" w:hAnsi="宋体"/>
          <w:color w:val="000000"/>
          <w:szCs w:val="21"/>
        </w:rPr>
        <w:t>检验后样品〈特别是不合格样品〉注意保存。</w:t>
      </w:r>
    </w:p>
    <w:p>
      <w:pPr>
        <w:spacing w:line="360" w:lineRule="auto"/>
        <w:rPr>
          <w:rFonts w:ascii="宋体"/>
          <w:color w:val="000000"/>
          <w:szCs w:val="21"/>
        </w:rPr>
      </w:pPr>
      <w:r>
        <w:rPr>
          <w:rFonts w:ascii="宋体" w:hAnsi="宋体"/>
          <w:color w:val="000000"/>
          <w:szCs w:val="21"/>
        </w:rPr>
        <w:t>7.2.2</w:t>
      </w:r>
      <w:r>
        <w:rPr>
          <w:rFonts w:hint="eastAsia" w:ascii="宋体" w:hAnsi="宋体"/>
          <w:color w:val="000000"/>
          <w:szCs w:val="21"/>
        </w:rPr>
        <w:t>若被检产品明示的质量要求高于本细则中检验项目依据的标准要求时，应按被检产品明示的质量要求判定。</w:t>
      </w:r>
    </w:p>
    <w:p>
      <w:pPr>
        <w:spacing w:line="360" w:lineRule="auto"/>
        <w:ind w:firstLine="420" w:firstLineChars="200"/>
        <w:rPr>
          <w:rFonts w:asci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pacing w:line="360" w:lineRule="auto"/>
        <w:ind w:firstLine="420" w:firstLineChars="200"/>
        <w:rPr>
          <w:rFonts w:ascii="宋体"/>
          <w:color w:val="000000"/>
          <w:szCs w:val="21"/>
        </w:rPr>
      </w:pPr>
      <w:r>
        <w:rPr>
          <w:rFonts w:hint="eastAsia" w:ascii="宋体" w:hAnsi="宋体"/>
          <w:color w:val="000000"/>
          <w:szCs w:val="21"/>
        </w:rPr>
        <w:t>若被检产品明示的质量要求低于或包含细则中检验项目依据的推荐性标准要求时，应以被检产品明示的质量要求判定。</w:t>
      </w:r>
    </w:p>
    <w:p>
      <w:pPr>
        <w:spacing w:line="360" w:lineRule="auto"/>
        <w:ind w:firstLine="420" w:firstLineChars="200"/>
        <w:rPr>
          <w:rFonts w:asci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pacing w:line="360" w:lineRule="auto"/>
        <w:ind w:firstLine="420" w:firstLineChars="200"/>
      </w:pPr>
      <w:r>
        <w:rPr>
          <w:rFonts w:hint="eastAsia"/>
        </w:rPr>
        <w:t>若被检产品明示的质量要求缺少本细则中检验项目依据的推荐性标准要求时，该项目不参与判定，但应在检验报告中进行说明。</w:t>
      </w:r>
    </w:p>
    <w:p>
      <w:pPr>
        <w:spacing w:line="360" w:lineRule="auto"/>
        <w:rPr>
          <w:b/>
        </w:rPr>
      </w:pPr>
      <w:r>
        <w:rPr>
          <w:b/>
        </w:rPr>
        <w:t xml:space="preserve">8 </w:t>
      </w:r>
      <w:r>
        <w:rPr>
          <w:rFonts w:hint="eastAsia"/>
          <w:b/>
        </w:rPr>
        <w:t>判定原则</w:t>
      </w:r>
    </w:p>
    <w:p>
      <w:pPr>
        <w:snapToGrid w:val="0"/>
        <w:spacing w:line="360" w:lineRule="auto"/>
        <w:ind w:firstLine="420" w:firstLineChars="200"/>
        <w:rPr>
          <w:rFonts w:ascii="宋体"/>
          <w:color w:val="000000"/>
          <w:szCs w:val="21"/>
        </w:rPr>
      </w:pPr>
      <w:r>
        <w:rPr>
          <w:rFonts w:hint="eastAsia" w:ascii="宋体" w:hAnsi="宋体"/>
          <w:color w:val="000000"/>
          <w:szCs w:val="21"/>
        </w:rPr>
        <w:t>经检验，检验项目全部合格，判定为被抽查产品合格；检验项目出现下列情况之一者，判定为被抽查产品不合格。当产品存在</w:t>
      </w:r>
      <w:r>
        <w:rPr>
          <w:rFonts w:ascii="宋体" w:hAnsi="宋体"/>
          <w:color w:val="000000"/>
          <w:szCs w:val="21"/>
        </w:rPr>
        <w:t>A</w:t>
      </w:r>
      <w:r>
        <w:rPr>
          <w:rFonts w:hint="eastAsia" w:ascii="宋体" w:hAnsi="宋体"/>
          <w:color w:val="000000"/>
          <w:szCs w:val="21"/>
        </w:rPr>
        <w:t>类（重要程度分类）项目不合格时，属于严重不合格；当产品仅有</w:t>
      </w:r>
      <w:r>
        <w:rPr>
          <w:rFonts w:ascii="宋体" w:hAnsi="宋体"/>
          <w:color w:val="000000"/>
          <w:szCs w:val="21"/>
        </w:rPr>
        <w:t>B</w:t>
      </w:r>
      <w:r>
        <w:rPr>
          <w:rFonts w:hint="eastAsia" w:ascii="宋体" w:hAnsi="宋体"/>
          <w:color w:val="000000"/>
          <w:szCs w:val="21"/>
        </w:rPr>
        <w:t>类（重要程度分类）项目不合格时，属于一般不合格。</w:t>
      </w:r>
    </w:p>
    <w:p>
      <w:pPr>
        <w:spacing w:line="360" w:lineRule="auto"/>
        <w:ind w:left="315" w:leftChars="150"/>
        <w:rPr>
          <w:rFonts w:ascii="宋体"/>
          <w:color w:val="000000"/>
          <w:szCs w:val="21"/>
        </w:rPr>
      </w:pPr>
      <w:r>
        <w:rPr>
          <w:rFonts w:ascii="宋体" w:hAnsi="宋体"/>
          <w:color w:val="000000"/>
          <w:szCs w:val="21"/>
        </w:rPr>
        <w:t>1</w:t>
      </w:r>
      <w:r>
        <w:rPr>
          <w:rFonts w:hint="eastAsia" w:ascii="宋体" w:hAnsi="宋体"/>
          <w:color w:val="000000"/>
          <w:szCs w:val="21"/>
        </w:rPr>
        <w:t>）有一项</w:t>
      </w:r>
      <w:r>
        <w:rPr>
          <w:rFonts w:ascii="宋体" w:hAnsi="宋体"/>
          <w:color w:val="000000"/>
          <w:szCs w:val="21"/>
        </w:rPr>
        <w:t>A</w:t>
      </w:r>
      <w:r>
        <w:rPr>
          <w:rFonts w:hint="eastAsia" w:ascii="宋体" w:hAnsi="宋体"/>
          <w:color w:val="000000"/>
          <w:szCs w:val="21"/>
        </w:rPr>
        <w:t>类不合格；</w:t>
      </w:r>
    </w:p>
    <w:p>
      <w:pPr>
        <w:spacing w:line="360" w:lineRule="auto"/>
        <w:ind w:left="315" w:leftChars="150"/>
        <w:rPr>
          <w:rFonts w:ascii="宋体"/>
          <w:color w:val="000000"/>
          <w:szCs w:val="21"/>
        </w:rPr>
      </w:pPr>
      <w:r>
        <w:rPr>
          <w:rFonts w:ascii="宋体" w:hAnsi="宋体"/>
          <w:color w:val="000000"/>
          <w:szCs w:val="21"/>
        </w:rPr>
        <w:t>2</w:t>
      </w:r>
      <w:r>
        <w:rPr>
          <w:rFonts w:hint="eastAsia" w:ascii="宋体" w:hAnsi="宋体"/>
          <w:color w:val="000000"/>
          <w:szCs w:val="21"/>
        </w:rPr>
        <w:t>）有两项</w:t>
      </w:r>
      <w:r>
        <w:rPr>
          <w:rFonts w:ascii="宋体" w:hAnsi="宋体"/>
          <w:color w:val="000000"/>
          <w:szCs w:val="21"/>
        </w:rPr>
        <w:t>B</w:t>
      </w:r>
      <w:r>
        <w:rPr>
          <w:rFonts w:hint="eastAsia" w:ascii="宋体" w:hAnsi="宋体"/>
          <w:color w:val="000000"/>
          <w:szCs w:val="21"/>
        </w:rPr>
        <w:t>类不合格；</w:t>
      </w:r>
    </w:p>
    <w:p>
      <w:pPr>
        <w:spacing w:line="360" w:lineRule="auto"/>
        <w:ind w:left="315" w:leftChars="150"/>
        <w:rPr>
          <w:rFonts w:ascii="宋体"/>
          <w:color w:val="000000"/>
          <w:szCs w:val="21"/>
        </w:rPr>
      </w:pPr>
      <w:r>
        <w:rPr>
          <w:rFonts w:ascii="宋体" w:hAnsi="宋体"/>
          <w:color w:val="000000"/>
          <w:szCs w:val="21"/>
        </w:rPr>
        <w:t>3</w:t>
      </w:r>
      <w:r>
        <w:rPr>
          <w:rFonts w:hint="eastAsia" w:ascii="宋体" w:hAnsi="宋体"/>
          <w:color w:val="000000"/>
          <w:szCs w:val="21"/>
        </w:rPr>
        <w:t>）有三项</w:t>
      </w:r>
      <w:r>
        <w:rPr>
          <w:rFonts w:ascii="宋体" w:hAnsi="宋体"/>
          <w:color w:val="000000"/>
          <w:szCs w:val="21"/>
        </w:rPr>
        <w:t>C</w:t>
      </w:r>
      <w:r>
        <w:rPr>
          <w:rFonts w:hint="eastAsia" w:ascii="宋体" w:hAnsi="宋体"/>
          <w:color w:val="000000"/>
          <w:szCs w:val="21"/>
        </w:rPr>
        <w:t>类不合格；</w:t>
      </w:r>
    </w:p>
    <w:p>
      <w:pPr>
        <w:spacing w:line="360" w:lineRule="auto"/>
        <w:ind w:left="315" w:leftChars="150"/>
        <w:rPr>
          <w:rFonts w:ascii="宋体"/>
          <w:color w:val="000000"/>
          <w:szCs w:val="21"/>
        </w:rPr>
      </w:pPr>
      <w:r>
        <w:rPr>
          <w:rFonts w:ascii="宋体" w:hAnsi="宋体"/>
          <w:color w:val="000000"/>
          <w:szCs w:val="21"/>
        </w:rPr>
        <w:t>4</w:t>
      </w:r>
      <w:r>
        <w:rPr>
          <w:rFonts w:hint="eastAsia" w:ascii="宋体" w:hAnsi="宋体"/>
          <w:color w:val="000000"/>
          <w:szCs w:val="21"/>
        </w:rPr>
        <w:t>）有一项</w:t>
      </w:r>
      <w:r>
        <w:rPr>
          <w:rFonts w:ascii="宋体" w:hAnsi="宋体"/>
          <w:color w:val="000000"/>
          <w:szCs w:val="21"/>
        </w:rPr>
        <w:t>B</w:t>
      </w:r>
      <w:r>
        <w:rPr>
          <w:rFonts w:hint="eastAsia" w:ascii="宋体" w:hAnsi="宋体"/>
          <w:color w:val="000000"/>
          <w:szCs w:val="21"/>
        </w:rPr>
        <w:t>类和两项</w:t>
      </w:r>
      <w:r>
        <w:rPr>
          <w:rFonts w:ascii="宋体" w:hAnsi="宋体"/>
          <w:color w:val="000000"/>
          <w:szCs w:val="21"/>
        </w:rPr>
        <w:t>C</w:t>
      </w:r>
      <w:r>
        <w:rPr>
          <w:rFonts w:hint="eastAsia" w:ascii="宋体" w:hAnsi="宋体"/>
          <w:color w:val="000000"/>
          <w:szCs w:val="21"/>
        </w:rPr>
        <w:t>类不合格。</w:t>
      </w:r>
    </w:p>
    <w:p>
      <w:pPr>
        <w:spacing w:line="360" w:lineRule="auto"/>
        <w:ind w:firstLine="360" w:firstLineChars="200"/>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w:t>
      </w:r>
      <w:r>
        <w:rPr>
          <w:rFonts w:ascii="宋体" w:hAnsi="宋体"/>
          <w:color w:val="000000"/>
          <w:sz w:val="18"/>
          <w:szCs w:val="18"/>
        </w:rPr>
        <w:t>4</w:t>
      </w:r>
      <w:r>
        <w:rPr>
          <w:rFonts w:hint="eastAsia" w:ascii="宋体" w:hAnsi="宋体"/>
          <w:color w:val="000000"/>
          <w:sz w:val="18"/>
          <w:szCs w:val="18"/>
        </w:rPr>
        <w:t>）中</w:t>
      </w:r>
      <w:r>
        <w:rPr>
          <w:rFonts w:ascii="宋体" w:hAnsi="宋体"/>
          <w:color w:val="000000"/>
          <w:sz w:val="18"/>
          <w:szCs w:val="18"/>
        </w:rPr>
        <w:t>A</w:t>
      </w:r>
      <w:r>
        <w:rPr>
          <w:rFonts w:hint="eastAsia" w:ascii="宋体" w:hAnsi="宋体"/>
          <w:color w:val="000000"/>
          <w:sz w:val="18"/>
          <w:szCs w:val="18"/>
        </w:rPr>
        <w:t>、</w:t>
      </w:r>
      <w:r>
        <w:rPr>
          <w:rFonts w:ascii="宋体" w:hAnsi="宋体"/>
          <w:color w:val="000000"/>
          <w:sz w:val="18"/>
          <w:szCs w:val="18"/>
        </w:rPr>
        <w:t>B</w:t>
      </w:r>
      <w:r>
        <w:rPr>
          <w:rFonts w:hint="eastAsia" w:ascii="宋体" w:hAnsi="宋体"/>
          <w:color w:val="000000"/>
          <w:sz w:val="18"/>
          <w:szCs w:val="18"/>
        </w:rPr>
        <w:t>、</w:t>
      </w:r>
      <w:r>
        <w:rPr>
          <w:rFonts w:ascii="宋体" w:hAnsi="宋体"/>
          <w:color w:val="000000"/>
          <w:sz w:val="18"/>
          <w:szCs w:val="18"/>
        </w:rPr>
        <w:t>C</w:t>
      </w:r>
      <w:r>
        <w:rPr>
          <w:rFonts w:hint="eastAsia" w:ascii="宋体" w:hAnsi="宋体"/>
          <w:color w:val="000000"/>
          <w:sz w:val="18"/>
          <w:szCs w:val="18"/>
        </w:rPr>
        <w:t>类是指</w:t>
      </w:r>
      <w:r>
        <w:rPr>
          <w:rFonts w:ascii="宋体" w:hAnsi="宋体"/>
          <w:color w:val="000000"/>
          <w:szCs w:val="21"/>
        </w:rPr>
        <w:t>xxx</w:t>
      </w:r>
      <w:r>
        <w:rPr>
          <w:rFonts w:hint="eastAsia" w:ascii="宋体" w:hAnsi="宋体"/>
          <w:color w:val="000000"/>
          <w:sz w:val="18"/>
          <w:szCs w:val="18"/>
        </w:rPr>
        <w:t>标准中规定的不合格项类。</w:t>
      </w:r>
    </w:p>
    <w:p>
      <w:pPr>
        <w:snapToGrid w:val="0"/>
        <w:spacing w:line="360" w:lineRule="auto"/>
        <w:ind w:firstLine="420" w:firstLineChars="200"/>
        <w:rPr>
          <w:rFonts w:ascii="宋体"/>
          <w:color w:val="000000"/>
          <w:szCs w:val="21"/>
        </w:rPr>
      </w:pPr>
      <w:r>
        <w:rPr>
          <w:rFonts w:hint="eastAsia" w:ascii="宋体" w:hAnsi="宋体"/>
          <w:color w:val="000000"/>
          <w:szCs w:val="21"/>
        </w:rPr>
        <w:t>结论用语</w:t>
      </w:r>
      <w:r>
        <w:rPr>
          <w:rFonts w:ascii="宋体" w:hAnsi="宋体"/>
          <w:color w:val="000000"/>
          <w:szCs w:val="21"/>
        </w:rPr>
        <w:t>:</w:t>
      </w:r>
    </w:p>
    <w:p>
      <w:pPr>
        <w:snapToGrid w:val="0"/>
        <w:spacing w:line="360" w:lineRule="auto"/>
        <w:ind w:firstLine="420" w:firstLineChars="200"/>
        <w:rPr>
          <w:rFonts w:ascii="宋体"/>
          <w:color w:val="000000"/>
          <w:szCs w:val="21"/>
        </w:rPr>
      </w:pPr>
      <w:r>
        <w:rPr>
          <w:rFonts w:ascii="宋体" w:hAnsi="宋体"/>
          <w:color w:val="000000"/>
          <w:szCs w:val="21"/>
        </w:rPr>
        <w:t>a)</w:t>
      </w:r>
      <w:r>
        <w:rPr>
          <w:rFonts w:hint="eastAsia" w:ascii="宋体" w:hAnsi="宋体"/>
          <w:color w:val="000000"/>
          <w:szCs w:val="21"/>
        </w:rPr>
        <w:t>经抽样检验，所检项目符合</w:t>
      </w:r>
      <w:r>
        <w:rPr>
          <w:rFonts w:ascii="宋体" w:hAnsi="宋体"/>
          <w:color w:val="000000"/>
          <w:szCs w:val="21"/>
        </w:rPr>
        <w:t>xxx</w:t>
      </w:r>
      <w:r>
        <w:rPr>
          <w:rFonts w:hint="eastAsia" w:ascii="宋体" w:hAnsi="宋体"/>
          <w:color w:val="000000"/>
          <w:szCs w:val="21"/>
        </w:rPr>
        <w:t>标准要求，依据</w:t>
      </w:r>
      <w:r>
        <w:rPr>
          <w:rFonts w:ascii="宋体" w:hAnsi="宋体"/>
          <w:color w:val="000000"/>
          <w:szCs w:val="21"/>
        </w:rPr>
        <w:t>xxx</w:t>
      </w:r>
      <w:r>
        <w:rPr>
          <w:rFonts w:hint="eastAsia" w:ascii="宋体" w:hAnsi="宋体"/>
          <w:color w:val="000000"/>
          <w:szCs w:val="21"/>
        </w:rPr>
        <w:t>抽查细则（或方案），判定为合格；</w:t>
      </w:r>
    </w:p>
    <w:p>
      <w:pPr>
        <w:snapToGrid w:val="0"/>
        <w:spacing w:line="360" w:lineRule="auto"/>
        <w:ind w:firstLine="420" w:firstLineChars="200"/>
        <w:rPr>
          <w:rFonts w:ascii="宋体"/>
          <w:color w:val="000000"/>
          <w:szCs w:val="21"/>
        </w:rPr>
      </w:pPr>
      <w:r>
        <w:rPr>
          <w:rFonts w:ascii="宋体" w:hAnsi="宋体"/>
          <w:color w:val="000000"/>
          <w:szCs w:val="21"/>
        </w:rPr>
        <w:t>b)</w:t>
      </w:r>
      <w:r>
        <w:rPr>
          <w:rFonts w:hint="eastAsia" w:ascii="宋体" w:hAnsi="宋体"/>
          <w:color w:val="000000"/>
          <w:szCs w:val="21"/>
        </w:rPr>
        <w:t>经抽样检验，</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项目不符合</w:t>
      </w:r>
      <w:r>
        <w:rPr>
          <w:rFonts w:ascii="宋体" w:hAnsi="宋体"/>
          <w:color w:val="000000"/>
          <w:szCs w:val="21"/>
        </w:rPr>
        <w:t>xxx</w:t>
      </w:r>
      <w:r>
        <w:rPr>
          <w:rFonts w:hint="eastAsia" w:ascii="宋体" w:hAnsi="宋体"/>
          <w:color w:val="000000"/>
          <w:szCs w:val="21"/>
        </w:rPr>
        <w:t>标准要求，依据</w:t>
      </w:r>
      <w:r>
        <w:rPr>
          <w:rFonts w:ascii="宋体" w:hAnsi="宋体"/>
          <w:color w:val="000000"/>
          <w:szCs w:val="21"/>
        </w:rPr>
        <w:t>xxx</w:t>
      </w:r>
      <w:r>
        <w:rPr>
          <w:rFonts w:hint="eastAsia" w:ascii="宋体" w:hAnsi="宋体"/>
          <w:color w:val="000000"/>
          <w:szCs w:val="21"/>
        </w:rPr>
        <w:t>抽查细则（或方案），判定为不合格；</w:t>
      </w:r>
    </w:p>
    <w:p>
      <w:pPr>
        <w:snapToGrid w:val="0"/>
        <w:spacing w:line="360" w:lineRule="auto"/>
        <w:ind w:firstLine="420" w:firstLineChars="200"/>
        <w:rPr>
          <w:rFonts w:ascii="宋体" w:hAnsi="宋体"/>
          <w:color w:val="000000"/>
          <w:szCs w:val="21"/>
        </w:rPr>
      </w:pPr>
      <w:r>
        <w:rPr>
          <w:rFonts w:ascii="宋体" w:hAnsi="宋体"/>
          <w:color w:val="000000"/>
          <w:szCs w:val="21"/>
        </w:rPr>
        <w:t>c)</w:t>
      </w:r>
      <w:r>
        <w:rPr>
          <w:rFonts w:hint="eastAsia" w:ascii="宋体" w:hAnsi="宋体"/>
          <w:color w:val="000000"/>
          <w:szCs w:val="21"/>
        </w:rPr>
        <w:t>经抽样检验，</w:t>
      </w:r>
      <w:r>
        <w:rPr>
          <w:rFonts w:ascii="宋体" w:hAnsi="宋体"/>
          <w:color w:val="000000"/>
          <w:szCs w:val="21"/>
        </w:rPr>
        <w:t xml:space="preserve"> 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项目不符合</w:t>
      </w:r>
      <w:r>
        <w:rPr>
          <w:rFonts w:ascii="宋体" w:hAnsi="宋体"/>
          <w:color w:val="000000"/>
          <w:szCs w:val="21"/>
        </w:rPr>
        <w:t>xxx</w:t>
      </w:r>
      <w:r>
        <w:rPr>
          <w:rFonts w:hint="eastAsia" w:ascii="宋体" w:hAnsi="宋体"/>
          <w:color w:val="000000"/>
          <w:szCs w:val="21"/>
        </w:rPr>
        <w:t>标准要求，依据</w:t>
      </w:r>
      <w:r>
        <w:rPr>
          <w:rFonts w:ascii="宋体" w:hAnsi="宋体"/>
          <w:color w:val="000000"/>
          <w:szCs w:val="21"/>
        </w:rPr>
        <w:t>xxx</w:t>
      </w:r>
      <w:r>
        <w:rPr>
          <w:rFonts w:hint="eastAsia" w:ascii="宋体" w:hAnsi="宋体"/>
          <w:color w:val="000000"/>
          <w:szCs w:val="21"/>
        </w:rPr>
        <w:t>抽查细则（或方案），判定为不合格，属于严重不合格。</w:t>
      </w:r>
    </w:p>
    <w:p>
      <w:pPr>
        <w:spacing w:line="360" w:lineRule="auto"/>
        <w:ind w:firstLine="360" w:firstLineChars="200"/>
        <w:rPr>
          <w:rFonts w:ascii="宋体" w:hAnsi="宋体"/>
          <w:sz w:val="18"/>
          <w:szCs w:val="18"/>
        </w:rPr>
      </w:pPr>
      <w:r>
        <w:rPr>
          <w:rFonts w:hint="eastAsia" w:ascii="宋体" w:hAnsi="宋体"/>
          <w:sz w:val="18"/>
          <w:szCs w:val="18"/>
        </w:rPr>
        <w:t>注：“</w:t>
      </w:r>
      <w:r>
        <w:rPr>
          <w:rFonts w:ascii="宋体" w:hAnsi="宋体"/>
          <w:sz w:val="18"/>
          <w:szCs w:val="18"/>
        </w:rPr>
        <w:t>xxx</w:t>
      </w:r>
      <w:r>
        <w:rPr>
          <w:rFonts w:hint="eastAsia"/>
          <w:sz w:val="18"/>
          <w:szCs w:val="18"/>
        </w:rPr>
        <w:t>抽查细则（或方案）</w:t>
      </w:r>
      <w:r>
        <w:rPr>
          <w:rFonts w:hint="eastAsia" w:ascii="宋体" w:hAnsi="宋体"/>
          <w:sz w:val="18"/>
          <w:szCs w:val="18"/>
        </w:rPr>
        <w:t>”中的“</w:t>
      </w:r>
      <w:r>
        <w:rPr>
          <w:rFonts w:ascii="宋体" w:hAnsi="宋体"/>
          <w:sz w:val="18"/>
          <w:szCs w:val="18"/>
        </w:rPr>
        <w:t>xxx</w:t>
      </w:r>
      <w:r>
        <w:rPr>
          <w:rFonts w:hint="eastAsia" w:ascii="宋体" w:hAnsi="宋体"/>
          <w:sz w:val="18"/>
          <w:szCs w:val="18"/>
        </w:rPr>
        <w:t>”，要填写完整的</w:t>
      </w:r>
      <w:r>
        <w:rPr>
          <w:rFonts w:hint="eastAsia"/>
          <w:sz w:val="18"/>
          <w:szCs w:val="18"/>
        </w:rPr>
        <w:t>抽查细则（或方案）</w:t>
      </w:r>
      <w:r>
        <w:rPr>
          <w:rFonts w:hint="eastAsia" w:ascii="宋体" w:hAnsi="宋体"/>
          <w:sz w:val="18"/>
          <w:szCs w:val="18"/>
        </w:rPr>
        <w:t>编号（含年代号）和名称。</w:t>
      </w:r>
    </w:p>
    <w:p>
      <w:pPr>
        <w:pStyle w:val="2"/>
        <w:snapToGrid w:val="0"/>
        <w:spacing w:line="360" w:lineRule="auto"/>
        <w:rPr>
          <w:rFonts w:hAnsi="宋体"/>
          <w:b/>
          <w:color w:val="000000"/>
          <w:szCs w:val="21"/>
        </w:rPr>
      </w:pPr>
      <w:r>
        <w:rPr>
          <w:rFonts w:hAnsi="宋体"/>
          <w:b/>
          <w:color w:val="000000"/>
          <w:szCs w:val="21"/>
        </w:rPr>
        <w:t>9</w:t>
      </w:r>
      <w:r>
        <w:rPr>
          <w:rFonts w:hint="eastAsia" w:hAnsi="宋体"/>
          <w:b/>
          <w:color w:val="000000"/>
          <w:szCs w:val="21"/>
        </w:rPr>
        <w:t>异议处理原则</w:t>
      </w:r>
    </w:p>
    <w:p>
      <w:pPr>
        <w:snapToGrid w:val="0"/>
        <w:spacing w:line="360" w:lineRule="auto"/>
        <w:ind w:firstLine="420" w:firstLineChars="200"/>
        <w:rPr>
          <w:rFonts w:ascii="宋体"/>
          <w:color w:val="000000"/>
          <w:szCs w:val="21"/>
        </w:rPr>
      </w:pPr>
      <w:r>
        <w:rPr>
          <w:rFonts w:hint="eastAsia" w:ascii="宋体" w:hAnsi="宋体"/>
          <w:color w:val="000000"/>
          <w:szCs w:val="21"/>
        </w:rPr>
        <w:t>对判定不合格产品进行异议处理时，按以下方式进行：</w:t>
      </w:r>
    </w:p>
    <w:p>
      <w:pPr>
        <w:snapToGrid w:val="0"/>
        <w:spacing w:line="360" w:lineRule="auto"/>
        <w:rPr>
          <w:rFonts w:ascii="宋体"/>
          <w:color w:val="000000"/>
          <w:szCs w:val="21"/>
        </w:rPr>
      </w:pPr>
      <w:r>
        <w:rPr>
          <w:rFonts w:ascii="宋体" w:hAnsi="宋体"/>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360" w:lineRule="auto"/>
        <w:rPr>
          <w:rFonts w:ascii="宋体"/>
          <w:color w:val="000000"/>
          <w:szCs w:val="21"/>
        </w:rPr>
      </w:pPr>
      <w:r>
        <w:rPr>
          <w:rFonts w:ascii="宋体" w:hAnsi="宋体"/>
          <w:color w:val="000000"/>
          <w:szCs w:val="21"/>
        </w:rPr>
        <w:t>9.2</w:t>
      </w:r>
      <w:r>
        <w:rPr>
          <w:rFonts w:hint="eastAsia" w:ascii="宋体" w:hAnsi="宋体"/>
          <w:color w:val="000000"/>
          <w:szCs w:val="21"/>
        </w:rPr>
        <w:t>对需要复检并具备检验条件的，处理企业异议的市场监督部门局或者指定检验机构应当按原监督抽查方案对留存的样品或抽取的备用样品组织复检，并出具检验报告。复检结论为最终结论。</w:t>
      </w:r>
    </w:p>
    <w:p>
      <w:pPr>
        <w:snapToGrid w:val="0"/>
        <w:spacing w:line="360" w:lineRule="auto"/>
        <w:rPr>
          <w:rFonts w:ascii="宋体"/>
          <w:color w:val="000000"/>
          <w:szCs w:val="21"/>
        </w:rPr>
      </w:pPr>
      <w:r>
        <w:rPr>
          <w:rFonts w:ascii="宋体" w:hAnsi="宋体"/>
          <w:color w:val="000000"/>
          <w:szCs w:val="21"/>
        </w:rPr>
        <w:t xml:space="preserve">9.3 </w:t>
      </w:r>
      <w:r>
        <w:rPr>
          <w:rFonts w:hint="eastAsia" w:ascii="宋体" w:hAnsi="宋体"/>
          <w:color w:val="000000"/>
          <w:szCs w:val="21"/>
        </w:rPr>
        <w:t>不予复检的情况</w:t>
      </w:r>
    </w:p>
    <w:p>
      <w:pPr>
        <w:snapToGrid w:val="0"/>
        <w:spacing w:line="360" w:lineRule="auto"/>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）被检方提出复检时，产品在复检有效期内于正常贮存条件下已失效；</w:t>
      </w:r>
    </w:p>
    <w:p>
      <w:pPr>
        <w:snapToGrid w:val="0"/>
        <w:spacing w:line="360" w:lineRule="auto"/>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）法律、法规规定不得复检其他情况。</w:t>
      </w:r>
    </w:p>
    <w:p>
      <w:pPr>
        <w:snapToGrid w:val="0"/>
        <w:spacing w:line="360" w:lineRule="auto"/>
        <w:rPr>
          <w:rFonts w:ascii="宋体"/>
          <w:color w:val="000000"/>
          <w:szCs w:val="21"/>
        </w:rPr>
      </w:pPr>
    </w:p>
    <w:sectPr>
      <w:headerReference r:id="rId3" w:type="default"/>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66B"/>
    <w:rsid w:val="00030A93"/>
    <w:rsid w:val="00031932"/>
    <w:rsid w:val="00037CF2"/>
    <w:rsid w:val="000836E4"/>
    <w:rsid w:val="000B6072"/>
    <w:rsid w:val="000D7189"/>
    <w:rsid w:val="00100C9C"/>
    <w:rsid w:val="00146312"/>
    <w:rsid w:val="00165027"/>
    <w:rsid w:val="00181672"/>
    <w:rsid w:val="001A663C"/>
    <w:rsid w:val="001B6531"/>
    <w:rsid w:val="002432B1"/>
    <w:rsid w:val="00245C2C"/>
    <w:rsid w:val="00272A6D"/>
    <w:rsid w:val="00281763"/>
    <w:rsid w:val="002837C8"/>
    <w:rsid w:val="0028735F"/>
    <w:rsid w:val="0030610B"/>
    <w:rsid w:val="00315260"/>
    <w:rsid w:val="003375A2"/>
    <w:rsid w:val="00383463"/>
    <w:rsid w:val="003B3100"/>
    <w:rsid w:val="003B7E0C"/>
    <w:rsid w:val="004110C8"/>
    <w:rsid w:val="004404C3"/>
    <w:rsid w:val="00446CC5"/>
    <w:rsid w:val="004A048F"/>
    <w:rsid w:val="004A2499"/>
    <w:rsid w:val="004A494D"/>
    <w:rsid w:val="004B6154"/>
    <w:rsid w:val="004C4BDE"/>
    <w:rsid w:val="00503B4C"/>
    <w:rsid w:val="005510F2"/>
    <w:rsid w:val="00553D81"/>
    <w:rsid w:val="00586D62"/>
    <w:rsid w:val="005B46C1"/>
    <w:rsid w:val="005C39A4"/>
    <w:rsid w:val="005D604E"/>
    <w:rsid w:val="005E36FB"/>
    <w:rsid w:val="005F41BF"/>
    <w:rsid w:val="00611AA3"/>
    <w:rsid w:val="00617518"/>
    <w:rsid w:val="006200B4"/>
    <w:rsid w:val="00644995"/>
    <w:rsid w:val="006457C2"/>
    <w:rsid w:val="0068032A"/>
    <w:rsid w:val="006B079C"/>
    <w:rsid w:val="006F7243"/>
    <w:rsid w:val="00730E7E"/>
    <w:rsid w:val="00776518"/>
    <w:rsid w:val="0079252D"/>
    <w:rsid w:val="00797EBF"/>
    <w:rsid w:val="007A4017"/>
    <w:rsid w:val="007C52A1"/>
    <w:rsid w:val="00827EA9"/>
    <w:rsid w:val="00840C4C"/>
    <w:rsid w:val="008502E1"/>
    <w:rsid w:val="008530C2"/>
    <w:rsid w:val="00867F06"/>
    <w:rsid w:val="008743F5"/>
    <w:rsid w:val="00875016"/>
    <w:rsid w:val="008B0EB7"/>
    <w:rsid w:val="008D6485"/>
    <w:rsid w:val="00930A3F"/>
    <w:rsid w:val="00963DC4"/>
    <w:rsid w:val="009B5396"/>
    <w:rsid w:val="009C0409"/>
    <w:rsid w:val="009E4869"/>
    <w:rsid w:val="009F6BC6"/>
    <w:rsid w:val="00A01A25"/>
    <w:rsid w:val="00A53583"/>
    <w:rsid w:val="00A64F1E"/>
    <w:rsid w:val="00A85D62"/>
    <w:rsid w:val="00AB57D5"/>
    <w:rsid w:val="00B05828"/>
    <w:rsid w:val="00B3680F"/>
    <w:rsid w:val="00B87D49"/>
    <w:rsid w:val="00BA166B"/>
    <w:rsid w:val="00BB0D82"/>
    <w:rsid w:val="00BE06CA"/>
    <w:rsid w:val="00BE30D6"/>
    <w:rsid w:val="00C16BA8"/>
    <w:rsid w:val="00C6791A"/>
    <w:rsid w:val="00C82B99"/>
    <w:rsid w:val="00C91911"/>
    <w:rsid w:val="00CA5CB0"/>
    <w:rsid w:val="00CA7093"/>
    <w:rsid w:val="00CB6F2F"/>
    <w:rsid w:val="00CD1DE4"/>
    <w:rsid w:val="00CD1E2B"/>
    <w:rsid w:val="00CD3EA2"/>
    <w:rsid w:val="00D2256C"/>
    <w:rsid w:val="00D5719D"/>
    <w:rsid w:val="00DB7B72"/>
    <w:rsid w:val="00DD4FCD"/>
    <w:rsid w:val="00E36D28"/>
    <w:rsid w:val="00E8104D"/>
    <w:rsid w:val="00EA6294"/>
    <w:rsid w:val="00EB7D72"/>
    <w:rsid w:val="00EC3486"/>
    <w:rsid w:val="00EC7016"/>
    <w:rsid w:val="00EF5102"/>
    <w:rsid w:val="00F34229"/>
    <w:rsid w:val="00F37A76"/>
    <w:rsid w:val="00F64E80"/>
    <w:rsid w:val="00F861A8"/>
    <w:rsid w:val="00F924AF"/>
    <w:rsid w:val="00FA0ECC"/>
    <w:rsid w:val="00FB3577"/>
    <w:rsid w:val="10D81F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rPr>
  </w:style>
  <w:style w:type="paragraph" w:styleId="3">
    <w:name w:val="Date"/>
    <w:basedOn w:val="1"/>
    <w:next w:val="1"/>
    <w:link w:val="11"/>
    <w:semiHidden/>
    <w:qFormat/>
    <w:uiPriority w:val="99"/>
    <w:pPr>
      <w:ind w:left="100" w:leftChars="2500"/>
    </w:pPr>
  </w:style>
  <w:style w:type="paragraph" w:styleId="4">
    <w:name w:val="footer"/>
    <w:basedOn w:val="1"/>
    <w:link w:val="10"/>
    <w:semiHidden/>
    <w:uiPriority w:val="99"/>
    <w:pPr>
      <w:tabs>
        <w:tab w:val="center" w:pos="4153"/>
        <w:tab w:val="right" w:pos="8306"/>
      </w:tabs>
      <w:snapToGrid w:val="0"/>
      <w:jc w:val="left"/>
    </w:pPr>
    <w:rPr>
      <w:sz w:val="18"/>
      <w:szCs w:val="18"/>
    </w:rPr>
  </w:style>
  <w:style w:type="paragraph" w:styleId="5">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locked/>
    <w:uiPriority w:val="99"/>
    <w:rPr>
      <w:rFonts w:ascii="宋体" w:hAnsi="Courier New" w:eastAsia="宋体" w:cs="Times New Roman"/>
      <w:sz w:val="20"/>
      <w:szCs w:val="20"/>
    </w:rPr>
  </w:style>
  <w:style w:type="character" w:customStyle="1" w:styleId="9">
    <w:name w:val="页眉 Char"/>
    <w:basedOn w:val="7"/>
    <w:link w:val="5"/>
    <w:semiHidden/>
    <w:locked/>
    <w:uiPriority w:val="99"/>
    <w:rPr>
      <w:rFonts w:ascii="Times New Roman" w:hAnsi="Times New Roman" w:eastAsia="宋体" w:cs="Times New Roman"/>
      <w:sz w:val="18"/>
      <w:szCs w:val="18"/>
    </w:rPr>
  </w:style>
  <w:style w:type="character" w:customStyle="1" w:styleId="10">
    <w:name w:val="页脚 Char"/>
    <w:basedOn w:val="7"/>
    <w:link w:val="4"/>
    <w:semiHidden/>
    <w:locked/>
    <w:uiPriority w:val="99"/>
    <w:rPr>
      <w:rFonts w:ascii="Times New Roman" w:hAnsi="Times New Roman" w:eastAsia="宋体" w:cs="Times New Roman"/>
      <w:sz w:val="18"/>
      <w:szCs w:val="18"/>
    </w:rPr>
  </w:style>
  <w:style w:type="character" w:customStyle="1" w:styleId="11">
    <w:name w:val="日期 Char"/>
    <w:basedOn w:val="7"/>
    <w:link w:val="3"/>
    <w:semiHidden/>
    <w:locked/>
    <w:uiPriority w:val="99"/>
    <w:rPr>
      <w:rFonts w:ascii="Times New Roman" w:hAnsi="Times New Roman" w:cs="Times New Roman"/>
      <w:sz w:val="20"/>
      <w:szCs w:val="20"/>
    </w:rPr>
  </w:style>
  <w:style w:type="character" w:customStyle="1" w:styleId="12">
    <w:name w:val="Char Char3"/>
    <w:basedOn w:val="7"/>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445</Words>
  <Characters>2538</Characters>
  <Lines>21</Lines>
  <Paragraphs>5</Paragraphs>
  <TotalTime>118</TotalTime>
  <ScaleCrop>false</ScaleCrop>
  <LinksUpToDate>false</LinksUpToDate>
  <CharactersWithSpaces>2978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2015-07-06T06:33:00Z</dcterms:created>
  <dc:creator>jcb</dc:creator>
  <cp:lastModifiedBy>王芬</cp:lastModifiedBy>
  <dcterms:modified xsi:type="dcterms:W3CDTF">2020-10-19T02:09:27Z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